
<file path=[Content_Types].xml><?xml version="1.0" encoding="utf-8"?>
<Types xmlns="http://schemas.openxmlformats.org/package/2006/content-types">
  <Default Extension="xml" ContentType="application/xml"/>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9"/>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509" w:type="dxa"/>
          </w:tcPr>
          <w:p>
            <w:pPr>
              <w:pStyle w:val="19"/>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pPr>
              <w:pStyle w:val="19"/>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13.100</w:t>
            </w:r>
            <w:r>
              <w:rPr>
                <w:rFonts w:ascii="黑体" w:hAnsi="黑体" w:eastAsia="黑体"/>
                <w:sz w:val="21"/>
                <w:szCs w:val="21"/>
              </w:rPr>
              <w:t xml:space="preserve"> </w:t>
            </w:r>
            <w:r>
              <w:rPr>
                <w:rFonts w:ascii="黑体" w:hAnsi="黑体" w:eastAsia="黑体"/>
                <w:sz w:val="21"/>
                <w:szCs w:val="21"/>
              </w:rPr>
              <w:fldChar w:fldCharType="end"/>
            </w:r>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9"/>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pPr>
              <w:pStyle w:val="19"/>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C 50</w:t>
            </w:r>
            <w:r>
              <w:rPr>
                <w:rFonts w:ascii="黑体" w:hAnsi="黑体" w:eastAsia="黑体"/>
                <w:sz w:val="21"/>
                <w:szCs w:val="21"/>
              </w:rPr>
              <w:fldChar w:fldCharType="end"/>
            </w:r>
            <w:bookmarkEnd w:id="1"/>
          </w:p>
        </w:tc>
      </w:tr>
    </w:tbl>
    <w:tbl>
      <w:tblPr>
        <w:tblStyle w:val="29"/>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pPr>
              <w:pStyle w:val="51"/>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7"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t>32</w:t>
            </w:r>
            <w:r>
              <w:fldChar w:fldCharType="end"/>
            </w:r>
            <w:bookmarkEnd w:id="3"/>
          </w:p>
        </w:tc>
      </w:tr>
    </w:tbl>
    <w:p>
      <w:pPr>
        <w:pStyle w:val="52"/>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江苏省</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pPr>
        <w:pStyle w:val="197"/>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lang w:val="fr-FR"/>
        </w:rPr>
        <w:t>32/T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pPr>
        <w:pStyle w:val="198"/>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pPr>
        <w:pStyle w:val="52"/>
        <w:framePr w:w="9639" w:h="6976" w:hRule="exact" w:hSpace="0" w:vSpace="0" w:wrap="around" w:hAnchor="page" w:y="6408"/>
        <w:jc w:val="center"/>
        <w:rPr>
          <w:rFonts w:ascii="黑体" w:hAnsi="黑体" w:eastAsia="黑体"/>
          <w:b w:val="0"/>
          <w:bCs w:val="0"/>
          <w:w w:val="100"/>
        </w:rPr>
      </w:pPr>
    </w:p>
    <w:p>
      <w:pPr>
        <w:pStyle w:val="199"/>
        <w:framePr w:h="6974" w:hRule="exact" w:wrap="around" w:x="1419" w:anchorLock="1"/>
        <w:pBdr>
          <w:top w:val="none" w:color="auto" w:sz="0" w:space="0"/>
          <w:left w:val="none" w:color="auto" w:sz="0" w:space="0"/>
          <w:bottom w:val="none" w:color="auto" w:sz="0" w:space="0"/>
          <w:right w:val="none" w:color="auto" w:sz="0" w:space="0"/>
        </w:pBdr>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县级（区域）医疗资源</w:t>
      </w:r>
      <w:r>
        <w:rPr>
          <w:rFonts w:hint="eastAsia"/>
          <w:lang w:eastAsia="zh-CN"/>
        </w:rPr>
        <w:t>集中</w:t>
      </w:r>
      <w:r>
        <w:rPr>
          <w:rFonts w:hint="eastAsia"/>
        </w:rPr>
        <w:t>化</w:t>
      </w:r>
    </w:p>
    <w:p>
      <w:pPr>
        <w:pStyle w:val="199"/>
        <w:framePr w:h="6974" w:hRule="exact" w:wrap="around" w:x="1419" w:anchorLock="1"/>
      </w:pPr>
      <w:r>
        <w:rPr>
          <w:rFonts w:hint="eastAsia"/>
          <w:lang w:eastAsia="zh-CN"/>
        </w:rPr>
        <w:t>运行</w:t>
      </w:r>
      <w:r>
        <w:rPr>
          <w:rFonts w:hint="eastAsia"/>
        </w:rPr>
        <w:t>规范</w:t>
      </w:r>
      <w:r>
        <w:cr/>
      </w:r>
      <w:r>
        <w:rPr>
          <w:rFonts w:hint="eastAsia"/>
        </w:rPr>
        <w:t>第1部分：集中审方中心</w:t>
      </w:r>
      <w:r>
        <w:fldChar w:fldCharType="end"/>
      </w:r>
      <w:bookmarkEnd w:id="9"/>
    </w:p>
    <w:p>
      <w:pPr>
        <w:framePr w:w="9639" w:h="6974" w:hRule="exact" w:wrap="around" w:vAnchor="page" w:hAnchor="page" w:x="1419" w:y="6408" w:anchorLock="1"/>
        <w:ind w:left="-1418"/>
      </w:pPr>
    </w:p>
    <w:p>
      <w:pPr>
        <w:pStyle w:val="127"/>
        <w:framePr w:w="9639" w:h="6974" w:hRule="exact" w:wrap="around" w:vAnchor="page" w:hAnchor="page" w:x="1419" w:y="6408" w:anchorLock="1"/>
        <w:textAlignment w:val="bottom"/>
        <w:rPr>
          <w:rFonts w:ascii="黑体" w:hAnsi="黑体" w:eastAsia="黑体"/>
          <w:szCs w:val="28"/>
        </w:rPr>
      </w:pPr>
      <w:r>
        <w:rPr>
          <w:rFonts w:ascii="黑体" w:hAnsi="黑体" w:eastAsia="黑体"/>
          <w:szCs w:val="28"/>
        </w:rPr>
        <w:fldChar w:fldCharType="begin">
          <w:ffData>
            <w:name w:val="ESTD_NAME"/>
            <w:enabled/>
            <w:calcOnExit w:val="0"/>
            <w:textInput>
              <w:default w:val="点击此处添加标准名称的英文译名"/>
            </w:textInput>
          </w:ffData>
        </w:fldChar>
      </w:r>
      <w:bookmarkStart w:id="10" w:name="ESTD_NAME"/>
      <w:r>
        <w:rPr>
          <w:rFonts w:ascii="黑体" w:hAnsi="黑体" w:eastAsia="黑体"/>
          <w:szCs w:val="28"/>
        </w:rPr>
        <w:instrText xml:space="preserve"> FORMTEXT </w:instrText>
      </w:r>
      <w:r>
        <w:rPr>
          <w:rFonts w:ascii="黑体" w:hAnsi="黑体" w:eastAsia="黑体"/>
          <w:szCs w:val="28"/>
        </w:rPr>
        <w:fldChar w:fldCharType="separate"/>
      </w:r>
      <w:r>
        <w:rPr>
          <w:rFonts w:hint="eastAsia" w:ascii="黑体" w:hAnsi="黑体" w:eastAsia="黑体"/>
          <w:szCs w:val="28"/>
        </w:rPr>
        <w:t>County-Level (Regional) Medical Resource Centralization Operation Standards——</w:t>
      </w:r>
    </w:p>
    <w:p>
      <w:pPr>
        <w:pStyle w:val="127"/>
        <w:framePr w:w="9639" w:h="6974" w:hRule="exact" w:wrap="around" w:vAnchor="page" w:hAnchor="page" w:x="1419" w:y="6408" w:anchorLock="1"/>
        <w:textAlignment w:val="bottom"/>
        <w:rPr>
          <w:rFonts w:ascii="黑体" w:hAnsi="黑体" w:eastAsia="黑体"/>
          <w:szCs w:val="28"/>
        </w:rPr>
      </w:pPr>
      <w:r>
        <w:rPr>
          <w:rFonts w:ascii="黑体" w:hAnsi="黑体" w:eastAsia="黑体"/>
          <w:szCs w:val="28"/>
        </w:rPr>
        <w:t>Part 1：Surveillance and early warning</w:t>
      </w:r>
      <w:r>
        <w:rPr>
          <w:rFonts w:ascii="黑体" w:hAnsi="黑体" w:eastAsia="黑体"/>
          <w:szCs w:val="28"/>
        </w:rPr>
        <w:fldChar w:fldCharType="end"/>
      </w:r>
      <w:bookmarkEnd w:id="10"/>
    </w:p>
    <w:p>
      <w:pPr>
        <w:framePr w:w="9639" w:h="6974" w:hRule="exact" w:wrap="around" w:vAnchor="page" w:hAnchor="page" w:x="1419" w:y="6408" w:anchorLock="1"/>
        <w:spacing w:line="760" w:lineRule="exact"/>
        <w:ind w:left="-1418"/>
      </w:pPr>
    </w:p>
    <w:p>
      <w:pPr>
        <w:pStyle w:val="127"/>
        <w:framePr w:w="9639" w:h="6974" w:hRule="exact" w:wrap="around" w:vAnchor="page" w:hAnchor="page" w:x="1419" w:y="6408" w:anchorLock="1"/>
        <w:textAlignment w:val="bottom"/>
        <w:rPr>
          <w:rFonts w:eastAsia="黑体"/>
          <w:szCs w:val="28"/>
        </w:rPr>
      </w:pPr>
    </w:p>
    <w:p>
      <w:pPr>
        <w:pStyle w:val="127"/>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pPr>
        <w:pStyle w:val="127"/>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rFonts w:hint="eastAsia"/>
          <w:sz w:val="21"/>
          <w:szCs w:val="28"/>
        </w:rPr>
        <w:t>（本草案完成时间：</w:t>
      </w:r>
      <w:r>
        <w:rPr>
          <w:sz w:val="21"/>
          <w:szCs w:val="28"/>
        </w:rPr>
        <w:t>2024</w:t>
      </w:r>
      <w:r>
        <w:rPr>
          <w:rFonts w:hint="eastAsia"/>
          <w:sz w:val="21"/>
          <w:szCs w:val="28"/>
        </w:rPr>
        <w:t>）</w:t>
      </w:r>
      <w:r>
        <w:rPr>
          <w:sz w:val="21"/>
          <w:szCs w:val="28"/>
        </w:rPr>
        <w:fldChar w:fldCharType="end"/>
      </w:r>
      <w:bookmarkEnd w:id="12"/>
    </w:p>
    <w:p>
      <w:pPr>
        <w:pStyle w:val="127"/>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pPr>
        <w:pStyle w:val="195"/>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pPr>
        <w:pStyle w:val="196"/>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pPr>
        <w:pStyle w:val="153"/>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江苏省市场监督管理局</w:t>
      </w:r>
      <w:r>
        <w:rPr>
          <w:rFonts w:hAnsi="黑体"/>
          <w:w w:val="100"/>
          <w:sz w:val="28"/>
        </w:rPr>
        <w:fldChar w:fldCharType="end"/>
      </w:r>
      <w:bookmarkEnd w:id="20"/>
      <w:r>
        <w:rPr>
          <w:rFonts w:ascii="Times New Roman"/>
          <w:w w:val="100"/>
          <w:sz w:val="28"/>
        </w:rPr>
        <w:t>  </w:t>
      </w:r>
      <w:r>
        <w:rPr>
          <w:rStyle w:val="231"/>
          <w:rFonts w:hint="eastAsia" w:hAnsi="黑体"/>
          <w:position w:val="0"/>
        </w:rPr>
        <w:t>发</w:t>
      </w:r>
      <w:r>
        <w:rPr>
          <w:rStyle w:val="231"/>
          <w:rFonts w:hint="eastAsia" w:hAnsi="黑体"/>
          <w:spacing w:val="0"/>
          <w:position w:val="0"/>
        </w:rPr>
        <w:t>布</w:t>
      </w:r>
    </w:p>
    <w:p>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pPr>
        <w:pStyle w:val="93"/>
        <w:spacing w:after="468"/>
      </w:pPr>
      <w:bookmarkStart w:id="21" w:name="BookMark1"/>
      <w:bookmarkStart w:id="22" w:name="_Toc161646153"/>
      <w:bookmarkStart w:id="23" w:name="_Toc165043122"/>
      <w:r>
        <w:rPr>
          <w:rFonts w:hint="eastAsia"/>
          <w:spacing w:val="320"/>
        </w:rPr>
        <w:t>目</w:t>
      </w:r>
      <w:r>
        <w:rPr>
          <w:rFonts w:hint="eastAsia"/>
        </w:rPr>
        <w:t>次</w:t>
      </w:r>
    </w:p>
    <w:p>
      <w:pPr>
        <w:pStyle w:val="20"/>
        <w:tabs>
          <w:tab w:val="right" w:leader="dot" w:pos="9344"/>
        </w:tabs>
        <w:rPr>
          <w:rFonts w:asciiTheme="minorHAnsi" w:hAnsiTheme="minorHAnsi" w:eastAsiaTheme="minorEastAsia" w:cstheme="minorBidi"/>
          <w:szCs w:val="22"/>
        </w:rPr>
      </w:pPr>
      <w:r>
        <w:fldChar w:fldCharType="begin"/>
      </w:r>
      <w:r>
        <w:instrText xml:space="preserve"> TOC \o "1-1" \h </w:instrText>
      </w:r>
      <w:r>
        <w:fldChar w:fldCharType="separate"/>
      </w:r>
      <w:r>
        <w:fldChar w:fldCharType="begin"/>
      </w:r>
      <w:r>
        <w:instrText xml:space="preserve"> HYPERLINK \l "_Toc165043142" </w:instrText>
      </w:r>
      <w:r>
        <w:fldChar w:fldCharType="separate"/>
      </w:r>
      <w:r>
        <w:rPr>
          <w:rStyle w:val="34"/>
        </w:rPr>
        <w:t>前言</w:t>
      </w:r>
      <w:r>
        <w:tab/>
      </w:r>
      <w:r>
        <w:fldChar w:fldCharType="begin"/>
      </w:r>
      <w:r>
        <w:instrText xml:space="preserve"> PAGEREF _Toc165043142 \h </w:instrText>
      </w:r>
      <w:r>
        <w:fldChar w:fldCharType="separate"/>
      </w:r>
      <w:r>
        <w:t>II</w:t>
      </w:r>
      <w:r>
        <w:fldChar w:fldCharType="end"/>
      </w:r>
      <w:r>
        <w:fldChar w:fldCharType="end"/>
      </w:r>
    </w:p>
    <w:p>
      <w:pPr>
        <w:pStyle w:val="20"/>
        <w:tabs>
          <w:tab w:val="right" w:leader="dot" w:pos="9344"/>
        </w:tabs>
        <w:rPr>
          <w:rFonts w:asciiTheme="minorHAnsi" w:hAnsiTheme="minorHAnsi" w:eastAsiaTheme="minorEastAsia" w:cstheme="minorBidi"/>
          <w:szCs w:val="22"/>
        </w:rPr>
      </w:pPr>
      <w:r>
        <w:fldChar w:fldCharType="begin"/>
      </w:r>
      <w:r>
        <w:instrText xml:space="preserve"> HYPERLINK \l "_Toc165043143" </w:instrText>
      </w:r>
      <w:r>
        <w:fldChar w:fldCharType="separate"/>
      </w:r>
      <w:r>
        <w:rPr>
          <w:rStyle w:val="34"/>
        </w:rPr>
        <w:t>引言</w:t>
      </w:r>
      <w:r>
        <w:tab/>
      </w:r>
      <w:r>
        <w:fldChar w:fldCharType="begin"/>
      </w:r>
      <w:r>
        <w:instrText xml:space="preserve"> PAGEREF _Toc165043143 \h </w:instrText>
      </w:r>
      <w:r>
        <w:fldChar w:fldCharType="separate"/>
      </w:r>
      <w:r>
        <w:t>III</w:t>
      </w:r>
      <w:r>
        <w:fldChar w:fldCharType="end"/>
      </w:r>
      <w:r>
        <w:fldChar w:fldCharType="end"/>
      </w:r>
    </w:p>
    <w:p>
      <w:pPr>
        <w:pStyle w:val="20"/>
        <w:tabs>
          <w:tab w:val="right" w:leader="dot" w:pos="9344"/>
        </w:tabs>
        <w:rPr>
          <w:rFonts w:asciiTheme="minorHAnsi" w:hAnsiTheme="minorHAnsi" w:eastAsiaTheme="minorEastAsia" w:cstheme="minorBidi"/>
          <w:szCs w:val="22"/>
        </w:rPr>
      </w:pPr>
      <w:r>
        <w:fldChar w:fldCharType="begin"/>
      </w:r>
      <w:r>
        <w:instrText xml:space="preserve"> HYPERLINK \l "_Toc165043144" </w:instrText>
      </w:r>
      <w:r>
        <w:fldChar w:fldCharType="separate"/>
      </w:r>
      <w:r>
        <w:rPr>
          <w:rStyle w:val="34"/>
        </w:rPr>
        <w:t>1  范围</w:t>
      </w:r>
      <w:r>
        <w:tab/>
      </w:r>
      <w:r>
        <w:fldChar w:fldCharType="begin"/>
      </w:r>
      <w:r>
        <w:instrText xml:space="preserve"> PAGEREF _Toc165043144 \h </w:instrText>
      </w:r>
      <w:r>
        <w:fldChar w:fldCharType="separate"/>
      </w:r>
      <w:r>
        <w:t>4</w:t>
      </w:r>
      <w:r>
        <w:fldChar w:fldCharType="end"/>
      </w:r>
      <w:r>
        <w:fldChar w:fldCharType="end"/>
      </w:r>
    </w:p>
    <w:p>
      <w:pPr>
        <w:pStyle w:val="20"/>
        <w:tabs>
          <w:tab w:val="right" w:leader="dot" w:pos="9344"/>
        </w:tabs>
        <w:rPr>
          <w:rFonts w:asciiTheme="minorHAnsi" w:hAnsiTheme="minorHAnsi" w:eastAsiaTheme="minorEastAsia" w:cstheme="minorBidi"/>
          <w:szCs w:val="22"/>
        </w:rPr>
      </w:pPr>
      <w:r>
        <w:fldChar w:fldCharType="begin"/>
      </w:r>
      <w:r>
        <w:instrText xml:space="preserve"> HYPERLINK \l "_Toc165043145" </w:instrText>
      </w:r>
      <w:r>
        <w:fldChar w:fldCharType="separate"/>
      </w:r>
      <w:r>
        <w:rPr>
          <w:rStyle w:val="34"/>
        </w:rPr>
        <w:t>2  规范性引用文件</w:t>
      </w:r>
      <w:r>
        <w:tab/>
      </w:r>
      <w:r>
        <w:fldChar w:fldCharType="begin"/>
      </w:r>
      <w:r>
        <w:instrText xml:space="preserve"> PAGEREF _Toc165043145 \h </w:instrText>
      </w:r>
      <w:r>
        <w:fldChar w:fldCharType="separate"/>
      </w:r>
      <w:r>
        <w:t>4</w:t>
      </w:r>
      <w:r>
        <w:fldChar w:fldCharType="end"/>
      </w:r>
      <w:r>
        <w:fldChar w:fldCharType="end"/>
      </w:r>
    </w:p>
    <w:p>
      <w:pPr>
        <w:pStyle w:val="20"/>
        <w:tabs>
          <w:tab w:val="right" w:leader="dot" w:pos="9344"/>
        </w:tabs>
        <w:rPr>
          <w:rFonts w:asciiTheme="minorHAnsi" w:hAnsiTheme="minorHAnsi" w:eastAsiaTheme="minorEastAsia" w:cstheme="minorBidi"/>
          <w:szCs w:val="22"/>
        </w:rPr>
      </w:pPr>
      <w:r>
        <w:fldChar w:fldCharType="begin"/>
      </w:r>
      <w:r>
        <w:instrText xml:space="preserve"> HYPERLINK \l "_Toc165043146" </w:instrText>
      </w:r>
      <w:r>
        <w:fldChar w:fldCharType="separate"/>
      </w:r>
      <w:r>
        <w:rPr>
          <w:rStyle w:val="34"/>
        </w:rPr>
        <w:t>3  术语和定义</w:t>
      </w:r>
      <w:r>
        <w:tab/>
      </w:r>
      <w:r>
        <w:fldChar w:fldCharType="begin"/>
      </w:r>
      <w:r>
        <w:instrText xml:space="preserve"> PAGEREF _Toc165043146 \h </w:instrText>
      </w:r>
      <w:r>
        <w:fldChar w:fldCharType="separate"/>
      </w:r>
      <w:r>
        <w:t>4</w:t>
      </w:r>
      <w:r>
        <w:fldChar w:fldCharType="end"/>
      </w:r>
      <w:r>
        <w:fldChar w:fldCharType="end"/>
      </w:r>
    </w:p>
    <w:p>
      <w:pPr>
        <w:pStyle w:val="20"/>
        <w:tabs>
          <w:tab w:val="right" w:leader="dot" w:pos="9344"/>
        </w:tabs>
        <w:rPr>
          <w:rFonts w:asciiTheme="minorHAnsi" w:hAnsiTheme="minorHAnsi" w:eastAsiaTheme="minorEastAsia" w:cstheme="minorBidi"/>
          <w:szCs w:val="22"/>
        </w:rPr>
      </w:pPr>
      <w:r>
        <w:fldChar w:fldCharType="begin"/>
      </w:r>
      <w:r>
        <w:instrText xml:space="preserve"> HYPERLINK \l "_Toc165043147" </w:instrText>
      </w:r>
      <w:r>
        <w:fldChar w:fldCharType="separate"/>
      </w:r>
      <w:r>
        <w:rPr>
          <w:rStyle w:val="34"/>
        </w:rPr>
        <w:t xml:space="preserve">4  </w:t>
      </w:r>
      <w:r>
        <w:rPr>
          <w:rStyle w:val="34"/>
          <w:rFonts w:hint="eastAsia"/>
          <w:lang w:val="en-US" w:eastAsia="zh-CN"/>
        </w:rPr>
        <w:t>基本要求</w:t>
      </w:r>
      <w:r>
        <w:tab/>
      </w:r>
      <w:r>
        <w:fldChar w:fldCharType="begin"/>
      </w:r>
      <w:r>
        <w:instrText xml:space="preserve"> PAGEREF _Toc165043147 \h </w:instrText>
      </w:r>
      <w:r>
        <w:fldChar w:fldCharType="separate"/>
      </w:r>
      <w:r>
        <w:t>4</w:t>
      </w:r>
      <w:r>
        <w:fldChar w:fldCharType="end"/>
      </w:r>
      <w:r>
        <w:fldChar w:fldCharType="end"/>
      </w:r>
    </w:p>
    <w:p>
      <w:pPr>
        <w:pStyle w:val="20"/>
        <w:tabs>
          <w:tab w:val="right" w:leader="dot" w:pos="9344"/>
        </w:tabs>
      </w:pPr>
      <w:r>
        <w:fldChar w:fldCharType="begin"/>
      </w:r>
      <w:r>
        <w:instrText xml:space="preserve"> HYPERLINK \l "_Toc165043148" </w:instrText>
      </w:r>
      <w:r>
        <w:fldChar w:fldCharType="separate"/>
      </w:r>
      <w:r>
        <w:rPr>
          <w:rStyle w:val="34"/>
        </w:rPr>
        <w:t xml:space="preserve">5  </w:t>
      </w:r>
      <w:r>
        <w:rPr>
          <w:rStyle w:val="34"/>
          <w:rFonts w:hint="eastAsia"/>
          <w:lang w:val="en-US" w:eastAsia="zh-CN"/>
        </w:rPr>
        <w:t>运行管理</w:t>
      </w:r>
      <w:r>
        <w:tab/>
      </w:r>
      <w:r>
        <w:fldChar w:fldCharType="begin"/>
      </w:r>
      <w:r>
        <w:instrText xml:space="preserve"> PAGEREF _Toc165043148 \h </w:instrText>
      </w:r>
      <w:r>
        <w:fldChar w:fldCharType="separate"/>
      </w:r>
      <w:r>
        <w:t>6</w:t>
      </w:r>
      <w:r>
        <w:fldChar w:fldCharType="end"/>
      </w:r>
      <w:r>
        <w:fldChar w:fldCharType="end"/>
      </w:r>
    </w:p>
    <w:p>
      <w:pPr>
        <w:pStyle w:val="20"/>
        <w:tabs>
          <w:tab w:val="right" w:leader="dot" w:pos="9344"/>
        </w:tabs>
        <w:rPr>
          <w:rFonts w:hint="eastAsia" w:eastAsia="宋体"/>
          <w:lang w:val="en-US" w:eastAsia="zh-CN"/>
        </w:rPr>
      </w:pPr>
      <w:r>
        <w:fldChar w:fldCharType="begin"/>
      </w:r>
      <w:r>
        <w:instrText xml:space="preserve"> HYPERLINK \l "_Toc165043148" </w:instrText>
      </w:r>
      <w:r>
        <w:fldChar w:fldCharType="separate"/>
      </w:r>
      <w:r>
        <w:rPr>
          <w:rStyle w:val="34"/>
          <w:rFonts w:hint="eastAsia"/>
          <w:lang w:val="en-US" w:eastAsia="zh-CN"/>
        </w:rPr>
        <w:t>6</w:t>
      </w:r>
      <w:r>
        <w:rPr>
          <w:rStyle w:val="34"/>
        </w:rPr>
        <w:t xml:space="preserve">  </w:t>
      </w:r>
      <w:r>
        <w:rPr>
          <w:rStyle w:val="34"/>
          <w:rFonts w:hint="eastAsia"/>
          <w:lang w:val="en-US" w:eastAsia="zh-CN"/>
        </w:rPr>
        <w:t>信息安全</w:t>
      </w:r>
      <w:r>
        <w:tab/>
      </w:r>
      <w:r>
        <w:rPr>
          <w:rFonts w:hint="eastAsia"/>
          <w:lang w:val="en-US" w:eastAsia="zh-CN"/>
        </w:rPr>
        <w:t>1</w:t>
      </w:r>
      <w:r>
        <w:fldChar w:fldCharType="end"/>
      </w:r>
      <w:r>
        <w:rPr>
          <w:rFonts w:hint="eastAsia"/>
          <w:lang w:val="en-US" w:eastAsia="zh-CN"/>
        </w:rPr>
        <w:t>2</w:t>
      </w:r>
    </w:p>
    <w:p>
      <w:pPr>
        <w:pStyle w:val="20"/>
        <w:tabs>
          <w:tab w:val="right" w:leader="dot" w:pos="9344"/>
        </w:tabs>
        <w:rPr>
          <w:rFonts w:hint="eastAsia" w:eastAsia="宋体" w:asciiTheme="minorHAnsi" w:hAnsiTheme="minorHAnsi" w:cstheme="minorBidi"/>
          <w:szCs w:val="22"/>
          <w:lang w:val="en-US" w:eastAsia="zh-CN"/>
        </w:rPr>
      </w:pPr>
      <w:r>
        <w:fldChar w:fldCharType="begin"/>
      </w:r>
      <w:r>
        <w:instrText xml:space="preserve"> HYPERLINK \l "_Toc165043149" </w:instrText>
      </w:r>
      <w:r>
        <w:fldChar w:fldCharType="separate"/>
      </w:r>
      <w:r>
        <w:rPr>
          <w:rStyle w:val="34"/>
        </w:rPr>
        <w:t xml:space="preserve">附录A（资料性） </w:t>
      </w:r>
      <w:r>
        <w:rPr>
          <w:rFonts w:hint="eastAsia"/>
          <w:lang w:val="en-US" w:eastAsia="zh-CN"/>
        </w:rPr>
        <w:t>审方药师培训措施</w:t>
      </w:r>
      <w:r>
        <w:tab/>
      </w:r>
      <w:r>
        <w:rPr>
          <w:rFonts w:hint="eastAsia"/>
          <w:lang w:val="en-US" w:eastAsia="zh-CN"/>
        </w:rPr>
        <w:t>1</w:t>
      </w:r>
      <w:r>
        <w:fldChar w:fldCharType="end"/>
      </w:r>
      <w:r>
        <w:rPr>
          <w:rFonts w:hint="eastAsia"/>
          <w:lang w:val="en-US" w:eastAsia="zh-CN"/>
        </w:rPr>
        <w:t>4</w:t>
      </w:r>
    </w:p>
    <w:p>
      <w:pPr>
        <w:pStyle w:val="20"/>
        <w:tabs>
          <w:tab w:val="right" w:leader="dot" w:pos="9344"/>
        </w:tabs>
        <w:rPr>
          <w:rFonts w:hint="eastAsia" w:eastAsia="宋体" w:asciiTheme="minorHAnsi" w:hAnsiTheme="minorHAnsi" w:cstheme="minorBidi"/>
          <w:szCs w:val="22"/>
          <w:lang w:val="en-US" w:eastAsia="zh-CN"/>
        </w:rPr>
      </w:pPr>
      <w:r>
        <w:fldChar w:fldCharType="begin"/>
      </w:r>
      <w:r>
        <w:instrText xml:space="preserve"> HYPERLINK \l "_Toc165043150" </w:instrText>
      </w:r>
      <w:r>
        <w:fldChar w:fldCharType="separate"/>
      </w:r>
      <w:r>
        <w:rPr>
          <w:rStyle w:val="34"/>
        </w:rPr>
        <w:t>参考文献</w:t>
      </w:r>
      <w:r>
        <w:tab/>
      </w:r>
      <w:r>
        <w:rPr>
          <w:rFonts w:hint="eastAsia"/>
          <w:lang w:val="en-US" w:eastAsia="zh-CN"/>
        </w:rPr>
        <w:t>1</w:t>
      </w:r>
      <w:r>
        <w:fldChar w:fldCharType="end"/>
      </w:r>
      <w:r>
        <w:rPr>
          <w:rFonts w:hint="eastAsia"/>
          <w:lang w:val="en-US" w:eastAsia="zh-CN"/>
        </w:rPr>
        <w:t>4</w:t>
      </w:r>
    </w:p>
    <w:p>
      <w:pPr>
        <w:pStyle w:val="106"/>
        <w:keepNext w:val="0"/>
        <w:keepLines w:val="0"/>
        <w:pageBreakBefore w:val="0"/>
        <w:numPr>
          <w:ilvl w:val="1"/>
          <w:numId w:val="0"/>
        </w:numPr>
        <w:kinsoku/>
        <w:wordWrap/>
        <w:overflowPunct/>
        <w:topLinePunct w:val="0"/>
        <w:bidi w:val="0"/>
        <w:spacing w:before="0" w:beforeLines="0" w:after="0" w:afterLines="0" w:line="240" w:lineRule="auto"/>
        <w:ind w:leftChars="200" w:right="0" w:rightChars="0"/>
        <w:jc w:val="distribute"/>
        <w:rPr>
          <w:rFonts w:hint="eastAsia"/>
          <w:lang w:val="en-US" w:eastAsia="zh-CN"/>
        </w:rPr>
        <w:sectPr>
          <w:headerReference r:id="rId11" w:type="default"/>
          <w:footerReference r:id="rId13" w:type="default"/>
          <w:headerReference r:id="rId12" w:type="even"/>
          <w:pgSz w:w="11906" w:h="16838"/>
          <w:pgMar w:top="1928" w:right="1134" w:bottom="1134" w:left="1134" w:header="1418" w:footer="1134" w:gutter="284"/>
          <w:pgNumType w:fmt="upperRoman" w:start="1"/>
          <w:cols w:space="425" w:num="1"/>
          <w:formProt w:val="0"/>
          <w:docGrid w:type="lines" w:linePitch="312" w:charSpace="0"/>
        </w:sectPr>
      </w:pPr>
      <w:r>
        <w:fldChar w:fldCharType="end"/>
      </w:r>
    </w:p>
    <w:bookmarkEnd w:id="21"/>
    <w:p>
      <w:pPr>
        <w:pStyle w:val="91"/>
        <w:spacing w:before="900" w:after="468"/>
      </w:pPr>
      <w:bookmarkStart w:id="24" w:name="_Toc165043142"/>
      <w:bookmarkStart w:id="25" w:name="BookMark2"/>
      <w:r>
        <w:rPr>
          <w:spacing w:val="320"/>
        </w:rPr>
        <w:t>前</w:t>
      </w:r>
      <w:r>
        <w:t>言</w:t>
      </w:r>
      <w:bookmarkEnd w:id="22"/>
      <w:bookmarkEnd w:id="23"/>
      <w:bookmarkEnd w:id="24"/>
    </w:p>
    <w:p>
      <w:pPr>
        <w:pStyle w:val="58"/>
        <w:ind w:firstLine="420"/>
      </w:pPr>
      <w:r>
        <w:rPr>
          <w:rFonts w:hint="eastAsia"/>
        </w:rPr>
        <w:t>本文件是D</w:t>
      </w:r>
      <w:r>
        <w:t>B32/T XXX</w:t>
      </w:r>
      <w:r>
        <w:rPr>
          <w:rFonts w:hint="eastAsia"/>
        </w:rPr>
        <w:t>《</w:t>
      </w:r>
      <w:r>
        <w:rPr>
          <w:rFonts w:hint="eastAsia"/>
          <w:lang w:val="en-US" w:eastAsia="zh-CN"/>
        </w:rPr>
        <w:t>县级（区域）医疗资源集中化运行规范</w:t>
      </w:r>
      <w:r>
        <w:rPr>
          <w:rFonts w:hint="eastAsia"/>
        </w:rPr>
        <w:t>》第1部分。D</w:t>
      </w:r>
      <w:r>
        <w:t>B32/T XXX</w:t>
      </w:r>
      <w:r>
        <w:rPr>
          <w:rFonts w:hint="eastAsia"/>
        </w:rPr>
        <w:t>已经发布了以下部分：</w:t>
      </w:r>
    </w:p>
    <w:p>
      <w:pPr>
        <w:pStyle w:val="58"/>
        <w:ind w:firstLine="420"/>
        <w:rPr>
          <w:rFonts w:hint="eastAsia" w:hAnsi="Times New Roman" w:cs="Times New Roman"/>
        </w:rPr>
      </w:pPr>
      <w:r>
        <w:rPr>
          <w:rFonts w:hint="eastAsia"/>
        </w:rPr>
        <w:t>--第1部分：</w:t>
      </w:r>
      <w:r>
        <w:rPr>
          <w:rFonts w:hint="eastAsia" w:hAnsi="Times New Roman" w:cs="Times New Roman"/>
          <w:lang w:val="en-US" w:eastAsia="zh-CN"/>
        </w:rPr>
        <w:t>集中审方中心</w:t>
      </w:r>
      <w:r>
        <w:rPr>
          <w:rFonts w:hint="eastAsia" w:hAnsi="Times New Roman" w:cs="Times New Roman"/>
        </w:rPr>
        <w:t>；</w:t>
      </w:r>
    </w:p>
    <w:p>
      <w:pPr>
        <w:pStyle w:val="58"/>
        <w:ind w:firstLine="420"/>
        <w:rPr>
          <w:rFonts w:hint="eastAsia" w:hAnsi="Times New Roman" w:cs="Times New Roman"/>
        </w:rPr>
      </w:pPr>
      <w:r>
        <w:rPr>
          <w:rFonts w:hint="eastAsia" w:hAnsi="Times New Roman" w:cs="Times New Roman"/>
        </w:rPr>
        <w:t>--第2部分：</w:t>
      </w:r>
      <w:r>
        <w:rPr>
          <w:rFonts w:hint="eastAsia" w:hAnsi="Times New Roman" w:cs="Times New Roman"/>
          <w:lang w:val="en-US" w:eastAsia="zh-CN"/>
        </w:rPr>
        <w:t>区域影像中心</w:t>
      </w:r>
      <w:r>
        <w:rPr>
          <w:rFonts w:hint="eastAsia" w:hAnsi="Times New Roman" w:cs="Times New Roman"/>
        </w:rPr>
        <w:t>；</w:t>
      </w:r>
    </w:p>
    <w:p>
      <w:pPr>
        <w:pStyle w:val="58"/>
        <w:ind w:firstLine="420"/>
        <w:rPr>
          <w:rFonts w:hint="eastAsia" w:hAnsi="Times New Roman" w:cs="Times New Roman"/>
        </w:rPr>
      </w:pPr>
      <w:r>
        <w:rPr>
          <w:rFonts w:hint="eastAsia" w:hAnsi="Times New Roman" w:cs="Times New Roman"/>
        </w:rPr>
        <w:t>--第3部分：</w:t>
      </w:r>
      <w:r>
        <w:rPr>
          <w:rFonts w:hint="eastAsia" w:hAnsi="Times New Roman" w:cs="Times New Roman"/>
          <w:lang w:val="en-US" w:eastAsia="zh-CN"/>
        </w:rPr>
        <w:t>智慧急救中心</w:t>
      </w:r>
      <w:r>
        <w:rPr>
          <w:rFonts w:hint="eastAsia" w:hAnsi="Times New Roman" w:cs="Times New Roman"/>
        </w:rPr>
        <w:t>；</w:t>
      </w:r>
    </w:p>
    <w:p>
      <w:pPr>
        <w:pStyle w:val="58"/>
        <w:ind w:firstLine="420"/>
        <w:rPr>
          <w:rFonts w:hint="eastAsia" w:hAnsi="Times New Roman" w:cs="Times New Roman"/>
        </w:rPr>
      </w:pPr>
      <w:r>
        <w:rPr>
          <w:rFonts w:hint="eastAsia" w:hAnsi="Times New Roman" w:cs="Times New Roman"/>
        </w:rPr>
        <w:t>--第4部分：</w:t>
      </w:r>
      <w:r>
        <w:rPr>
          <w:rFonts w:hint="eastAsia" w:hAnsi="Times New Roman" w:cs="Times New Roman"/>
          <w:lang w:val="en-US" w:eastAsia="zh-CN"/>
        </w:rPr>
        <w:t>远程会诊中心</w:t>
      </w:r>
      <w:r>
        <w:rPr>
          <w:rFonts w:hint="eastAsia" w:hAnsi="Times New Roman" w:cs="Times New Roman"/>
        </w:rPr>
        <w:t>；</w:t>
      </w:r>
    </w:p>
    <w:p>
      <w:pPr>
        <w:pStyle w:val="58"/>
        <w:ind w:firstLine="420"/>
        <w:rPr>
          <w:rFonts w:hint="eastAsia" w:hAnsi="Times New Roman" w:cs="Times New Roman"/>
        </w:rPr>
      </w:pPr>
      <w:r>
        <w:rPr>
          <w:rFonts w:hint="eastAsia" w:hAnsi="Times New Roman" w:cs="Times New Roman"/>
        </w:rPr>
        <w:t>--第5部分：</w:t>
      </w:r>
      <w:r>
        <w:rPr>
          <w:rFonts w:hint="eastAsia" w:hAnsi="Times New Roman" w:cs="Times New Roman"/>
          <w:lang w:val="en-US" w:eastAsia="zh-CN"/>
        </w:rPr>
        <w:t>网络心电中心</w:t>
      </w:r>
      <w:r>
        <w:rPr>
          <w:rFonts w:hint="eastAsia" w:hAnsi="Times New Roman" w:cs="Times New Roman"/>
        </w:rPr>
        <w:t>；</w:t>
      </w:r>
    </w:p>
    <w:p>
      <w:pPr>
        <w:pStyle w:val="58"/>
        <w:ind w:firstLine="420"/>
        <w:rPr>
          <w:rFonts w:hint="eastAsia" w:hAnsi="Times New Roman" w:cs="Times New Roman"/>
        </w:rPr>
      </w:pPr>
      <w:r>
        <w:rPr>
          <w:rFonts w:hint="eastAsia" w:hAnsi="Times New Roman" w:cs="Times New Roman"/>
        </w:rPr>
        <w:t>--第6部分：</w:t>
      </w:r>
      <w:r>
        <w:rPr>
          <w:rFonts w:hint="eastAsia" w:hAnsi="Times New Roman" w:cs="Times New Roman"/>
          <w:lang w:val="en-US" w:eastAsia="zh-CN"/>
        </w:rPr>
        <w:t>健康随访中心</w:t>
      </w:r>
      <w:r>
        <w:rPr>
          <w:rFonts w:hint="eastAsia" w:hAnsi="Times New Roman" w:cs="Times New Roman"/>
        </w:rPr>
        <w:t>；</w:t>
      </w:r>
    </w:p>
    <w:p>
      <w:pPr>
        <w:pStyle w:val="58"/>
        <w:ind w:firstLine="420"/>
        <w:rPr>
          <w:rFonts w:hint="eastAsia" w:hAnsi="Times New Roman" w:cs="Times New Roman"/>
        </w:rPr>
      </w:pPr>
      <w:r>
        <w:rPr>
          <w:rFonts w:hint="eastAsia" w:hAnsi="Times New Roman" w:cs="Times New Roman"/>
        </w:rPr>
        <w:t>--第7部分：</w:t>
      </w:r>
      <w:r>
        <w:rPr>
          <w:rFonts w:hint="eastAsia" w:hAnsi="Times New Roman" w:cs="Times New Roman"/>
          <w:lang w:val="en-US" w:eastAsia="zh-CN"/>
        </w:rPr>
        <w:t>临床检验中心</w:t>
      </w:r>
      <w:r>
        <w:rPr>
          <w:rFonts w:hint="eastAsia" w:hAnsi="Times New Roman" w:cs="Times New Roman"/>
        </w:rPr>
        <w:t>；</w:t>
      </w:r>
    </w:p>
    <w:p>
      <w:pPr>
        <w:pStyle w:val="58"/>
        <w:ind w:firstLine="420"/>
      </w:pPr>
      <w:r>
        <w:rPr>
          <w:rFonts w:hint="eastAsia" w:hAnsi="Times New Roman" w:cs="Times New Roman"/>
        </w:rPr>
        <w:t>--第8部分：</w:t>
      </w:r>
      <w:r>
        <w:rPr>
          <w:rFonts w:hint="eastAsia" w:hAnsi="Times New Roman" w:cs="Times New Roman"/>
          <w:lang w:val="en-US" w:eastAsia="zh-CN"/>
        </w:rPr>
        <w:t>消毒供应中心</w:t>
      </w:r>
      <w:r>
        <w:rPr>
          <w:rFonts w:hint="eastAsia"/>
        </w:rPr>
        <w:t>。</w:t>
      </w:r>
    </w:p>
    <w:p>
      <w:pPr>
        <w:pStyle w:val="58"/>
        <w:ind w:firstLine="420"/>
      </w:pPr>
      <w:r>
        <w:rPr>
          <w:rFonts w:hint="eastAsia"/>
        </w:rPr>
        <w:t>请注意本文件的某些内容可能涉及专利。本文件的发布机构不承担识别专利的责任。</w:t>
      </w:r>
    </w:p>
    <w:p>
      <w:pPr>
        <w:pStyle w:val="58"/>
        <w:ind w:firstLine="420"/>
      </w:pPr>
      <w:r>
        <w:rPr>
          <w:rFonts w:hint="eastAsia"/>
        </w:rPr>
        <w:t>本文件由江苏省卫生健康委提出。</w:t>
      </w:r>
    </w:p>
    <w:p>
      <w:pPr>
        <w:pStyle w:val="58"/>
        <w:ind w:firstLine="420"/>
        <w:rPr>
          <w:rFonts w:hint="eastAsia"/>
        </w:rPr>
      </w:pPr>
      <w:r>
        <w:rPr>
          <w:rFonts w:hint="eastAsia"/>
        </w:rPr>
        <w:t>本文件由江苏省卫生标准化技术委员会归口。</w:t>
      </w:r>
    </w:p>
    <w:p>
      <w:pPr>
        <w:pStyle w:val="58"/>
        <w:ind w:firstLine="420"/>
      </w:pPr>
    </w:p>
    <w:p>
      <w:pPr>
        <w:pStyle w:val="58"/>
        <w:ind w:firstLine="420"/>
        <w:sectPr>
          <w:headerReference r:id="rId14" w:type="default"/>
          <w:footerReference r:id="rId15" w:type="default"/>
          <w:pgSz w:w="11906" w:h="16838"/>
          <w:pgMar w:top="1928" w:right="1134" w:bottom="1134" w:left="1134" w:header="1418" w:footer="1134" w:gutter="284"/>
          <w:pgNumType w:fmt="upperRoman"/>
          <w:cols w:space="425" w:num="1"/>
          <w:formProt w:val="0"/>
          <w:docGrid w:type="lines" w:linePitch="312" w:charSpace="0"/>
        </w:sectPr>
      </w:pPr>
    </w:p>
    <w:bookmarkEnd w:id="25"/>
    <w:p>
      <w:pPr>
        <w:pStyle w:val="91"/>
        <w:spacing w:after="468"/>
      </w:pPr>
      <w:bookmarkStart w:id="26" w:name="_Toc165043143"/>
      <w:bookmarkStart w:id="27" w:name="_Toc165043123"/>
      <w:bookmarkStart w:id="28" w:name="BookMark3"/>
      <w:r>
        <w:rPr>
          <w:spacing w:val="320"/>
        </w:rPr>
        <w:t>引</w:t>
      </w:r>
      <w:r>
        <w:t>言</w:t>
      </w:r>
      <w:bookmarkEnd w:id="26"/>
      <w:bookmarkEnd w:id="27"/>
    </w:p>
    <w:bookmarkEnd w:id="28"/>
    <w:p>
      <w:pPr>
        <w:pStyle w:val="58"/>
        <w:ind w:firstLine="420"/>
        <w:rPr>
          <w:rFonts w:hint="eastAsia"/>
        </w:rPr>
      </w:pPr>
      <w:bookmarkStart w:id="29" w:name="BookMark4"/>
      <w:r>
        <w:rPr>
          <w:rFonts w:hint="eastAsia" w:hAnsi="Times New Roman" w:cs="Times New Roman"/>
        </w:rPr>
        <w:t>县域</w:t>
      </w:r>
      <w:r>
        <w:rPr>
          <w:rFonts w:hint="eastAsia" w:hAnsi="Times New Roman" w:cs="Times New Roman"/>
          <w:lang w:val="en-US" w:eastAsia="zh-CN"/>
        </w:rPr>
        <w:t>紧密型</w:t>
      </w:r>
      <w:r>
        <w:rPr>
          <w:rFonts w:hint="eastAsia" w:hAnsi="Times New Roman" w:cs="Times New Roman"/>
        </w:rPr>
        <w:t>医共体作为推进分级诊疗体系的重要抓手，普遍面临着多层级医疗资源配置不平衡、医疗服务能力不强、就医信息化程度滞后等问题</w:t>
      </w:r>
      <w:r>
        <w:rPr>
          <w:rFonts w:hint="eastAsia" w:hAnsi="Times New Roman" w:cs="Times New Roman"/>
          <w:lang w:eastAsia="zh-CN"/>
        </w:rPr>
        <w:t>。</w:t>
      </w:r>
      <w:r>
        <w:rPr>
          <w:rFonts w:hint="eastAsia" w:hAnsi="Times New Roman" w:cs="Times New Roman"/>
        </w:rPr>
        <w:t>如何把县域内各医疗机构变为一个价值同向的共同体为目标</w:t>
      </w:r>
      <w:r>
        <w:rPr>
          <w:rFonts w:hint="eastAsia" w:hAnsi="Times New Roman" w:cs="Times New Roman"/>
          <w:lang w:eastAsia="zh-CN"/>
        </w:rPr>
        <w:t>。</w:t>
      </w:r>
      <w:r>
        <w:rPr>
          <w:rFonts w:hint="eastAsia"/>
        </w:rPr>
        <w:t>本文件为提升江苏省</w:t>
      </w:r>
      <w:r>
        <w:rPr>
          <w:rFonts w:hint="eastAsia"/>
          <w:lang w:val="en-US" w:eastAsia="zh-CN"/>
        </w:rPr>
        <w:t>县级（区域）医疗资源集中化运行规范，推动</w:t>
      </w:r>
      <w:r>
        <w:rPr>
          <w:rFonts w:hint="eastAsia" w:hAnsi="Times New Roman" w:cs="Times New Roman"/>
        </w:rPr>
        <w:t>县域内各医疗机构</w:t>
      </w:r>
      <w:r>
        <w:rPr>
          <w:rFonts w:hint="eastAsia" w:hAnsi="Times New Roman" w:cs="Times New Roman"/>
          <w:lang w:val="en-US" w:eastAsia="zh-CN"/>
        </w:rPr>
        <w:t>成</w:t>
      </w:r>
      <w:r>
        <w:rPr>
          <w:rFonts w:hint="eastAsia" w:hAnsi="Times New Roman" w:cs="Times New Roman"/>
        </w:rPr>
        <w:t>为一个价值同向的共同体</w:t>
      </w:r>
      <w:r>
        <w:rPr>
          <w:rFonts w:hint="eastAsia"/>
        </w:rPr>
        <w:t>的目标而制定。</w:t>
      </w:r>
    </w:p>
    <w:p>
      <w:pPr>
        <w:pStyle w:val="58"/>
        <w:ind w:firstLine="420"/>
        <w:rPr>
          <w:rFonts w:hint="eastAsia"/>
        </w:rPr>
      </w:pPr>
      <w:r>
        <w:rPr>
          <w:rFonts w:hint="eastAsia"/>
        </w:rPr>
        <w:t>DB32/T XXX《</w:t>
      </w:r>
      <w:r>
        <w:rPr>
          <w:rFonts w:hint="eastAsia"/>
          <w:lang w:val="en-US" w:eastAsia="zh-CN"/>
        </w:rPr>
        <w:t>县级（区域）医疗资源集中化运行规范</w:t>
      </w:r>
      <w:r>
        <w:rPr>
          <w:rFonts w:hint="eastAsia"/>
        </w:rPr>
        <w:t>》分为以下</w:t>
      </w:r>
      <w:r>
        <w:rPr>
          <w:rFonts w:hint="eastAsia"/>
          <w:lang w:val="en-US" w:eastAsia="zh-CN"/>
        </w:rPr>
        <w:t>8</w:t>
      </w:r>
      <w:r>
        <w:rPr>
          <w:rFonts w:hint="eastAsia"/>
        </w:rPr>
        <w:t>个部分：</w:t>
      </w:r>
    </w:p>
    <w:p>
      <w:pPr>
        <w:pStyle w:val="58"/>
        <w:ind w:firstLine="420"/>
        <w:rPr>
          <w:rFonts w:hint="eastAsia" w:hAnsi="Times New Roman" w:cs="Times New Roman"/>
        </w:rPr>
      </w:pPr>
      <w:r>
        <w:rPr>
          <w:rFonts w:hint="eastAsia"/>
        </w:rPr>
        <w:t>--第1部分：</w:t>
      </w:r>
      <w:r>
        <w:rPr>
          <w:rFonts w:hint="eastAsia" w:hAnsi="Times New Roman" w:cs="Times New Roman"/>
          <w:lang w:val="en-US" w:eastAsia="zh-CN"/>
        </w:rPr>
        <w:t>集中审方中心</w:t>
      </w:r>
      <w:r>
        <w:rPr>
          <w:rFonts w:hint="eastAsia" w:hAnsi="Times New Roman" w:cs="Times New Roman"/>
        </w:rPr>
        <w:t>；</w:t>
      </w:r>
    </w:p>
    <w:p>
      <w:pPr>
        <w:pStyle w:val="58"/>
        <w:ind w:firstLine="420"/>
        <w:rPr>
          <w:rFonts w:hint="eastAsia" w:hAnsi="Times New Roman" w:cs="Times New Roman"/>
        </w:rPr>
      </w:pPr>
      <w:r>
        <w:rPr>
          <w:rFonts w:hint="eastAsia" w:hAnsi="Times New Roman" w:cs="Times New Roman"/>
        </w:rPr>
        <w:t>--第2部分：</w:t>
      </w:r>
      <w:r>
        <w:rPr>
          <w:rFonts w:hint="eastAsia" w:hAnsi="Times New Roman" w:cs="Times New Roman"/>
          <w:lang w:val="en-US" w:eastAsia="zh-CN"/>
        </w:rPr>
        <w:t>区域影像中心</w:t>
      </w:r>
      <w:r>
        <w:rPr>
          <w:rFonts w:hint="eastAsia" w:hAnsi="Times New Roman" w:cs="Times New Roman"/>
        </w:rPr>
        <w:t>；</w:t>
      </w:r>
    </w:p>
    <w:p>
      <w:pPr>
        <w:pStyle w:val="58"/>
        <w:ind w:firstLine="420"/>
        <w:rPr>
          <w:rFonts w:hint="eastAsia" w:hAnsi="Times New Roman" w:cs="Times New Roman"/>
        </w:rPr>
      </w:pPr>
      <w:r>
        <w:rPr>
          <w:rFonts w:hint="eastAsia" w:hAnsi="Times New Roman" w:cs="Times New Roman"/>
        </w:rPr>
        <w:t>--第3部分：</w:t>
      </w:r>
      <w:r>
        <w:rPr>
          <w:rFonts w:hint="eastAsia" w:hAnsi="Times New Roman" w:cs="Times New Roman"/>
          <w:lang w:val="en-US" w:eastAsia="zh-CN"/>
        </w:rPr>
        <w:t>智慧急救中心</w:t>
      </w:r>
      <w:r>
        <w:rPr>
          <w:rFonts w:hint="eastAsia" w:hAnsi="Times New Roman" w:cs="Times New Roman"/>
        </w:rPr>
        <w:t>；</w:t>
      </w:r>
    </w:p>
    <w:p>
      <w:pPr>
        <w:pStyle w:val="58"/>
        <w:ind w:firstLine="420"/>
        <w:rPr>
          <w:rFonts w:hint="eastAsia" w:hAnsi="Times New Roman" w:cs="Times New Roman"/>
        </w:rPr>
      </w:pPr>
      <w:r>
        <w:rPr>
          <w:rFonts w:hint="eastAsia" w:hAnsi="Times New Roman" w:cs="Times New Roman"/>
        </w:rPr>
        <w:t>--第4部分：</w:t>
      </w:r>
      <w:r>
        <w:rPr>
          <w:rFonts w:hint="eastAsia" w:hAnsi="Times New Roman" w:cs="Times New Roman"/>
          <w:lang w:val="en-US" w:eastAsia="zh-CN"/>
        </w:rPr>
        <w:t>远程会诊中心</w:t>
      </w:r>
      <w:r>
        <w:rPr>
          <w:rFonts w:hint="eastAsia" w:hAnsi="Times New Roman" w:cs="Times New Roman"/>
        </w:rPr>
        <w:t>；</w:t>
      </w:r>
    </w:p>
    <w:p>
      <w:pPr>
        <w:pStyle w:val="58"/>
        <w:ind w:firstLine="420"/>
        <w:rPr>
          <w:rFonts w:hint="eastAsia" w:hAnsi="Times New Roman" w:cs="Times New Roman"/>
        </w:rPr>
      </w:pPr>
      <w:r>
        <w:rPr>
          <w:rFonts w:hint="eastAsia" w:hAnsi="Times New Roman" w:cs="Times New Roman"/>
        </w:rPr>
        <w:t>--第5部分：</w:t>
      </w:r>
      <w:r>
        <w:rPr>
          <w:rFonts w:hint="eastAsia" w:hAnsi="Times New Roman" w:cs="Times New Roman"/>
          <w:lang w:val="en-US" w:eastAsia="zh-CN"/>
        </w:rPr>
        <w:t>网络心电中心</w:t>
      </w:r>
      <w:r>
        <w:rPr>
          <w:rFonts w:hint="eastAsia" w:hAnsi="Times New Roman" w:cs="Times New Roman"/>
        </w:rPr>
        <w:t>；</w:t>
      </w:r>
    </w:p>
    <w:p>
      <w:pPr>
        <w:pStyle w:val="58"/>
        <w:ind w:firstLine="420"/>
        <w:rPr>
          <w:rFonts w:hint="eastAsia" w:hAnsi="Times New Roman" w:cs="Times New Roman"/>
        </w:rPr>
      </w:pPr>
      <w:r>
        <w:rPr>
          <w:rFonts w:hint="eastAsia" w:hAnsi="Times New Roman" w:cs="Times New Roman"/>
        </w:rPr>
        <w:t>--第6部分：</w:t>
      </w:r>
      <w:r>
        <w:rPr>
          <w:rFonts w:hint="eastAsia" w:hAnsi="Times New Roman" w:cs="Times New Roman"/>
          <w:lang w:val="en-US" w:eastAsia="zh-CN"/>
        </w:rPr>
        <w:t>健康随访中心</w:t>
      </w:r>
      <w:r>
        <w:rPr>
          <w:rFonts w:hint="eastAsia" w:hAnsi="Times New Roman" w:cs="Times New Roman"/>
        </w:rPr>
        <w:t>；</w:t>
      </w:r>
    </w:p>
    <w:p>
      <w:pPr>
        <w:pStyle w:val="58"/>
        <w:ind w:firstLine="420"/>
        <w:rPr>
          <w:rFonts w:hint="eastAsia" w:hAnsi="Times New Roman" w:cs="Times New Roman"/>
        </w:rPr>
      </w:pPr>
      <w:r>
        <w:rPr>
          <w:rFonts w:hint="eastAsia" w:hAnsi="Times New Roman" w:cs="Times New Roman"/>
        </w:rPr>
        <w:t>--第7部分：</w:t>
      </w:r>
      <w:r>
        <w:rPr>
          <w:rFonts w:hint="eastAsia" w:hAnsi="Times New Roman" w:cs="Times New Roman"/>
          <w:lang w:val="en-US" w:eastAsia="zh-CN"/>
        </w:rPr>
        <w:t>临床检验中心</w:t>
      </w:r>
      <w:r>
        <w:rPr>
          <w:rFonts w:hint="eastAsia" w:hAnsi="Times New Roman" w:cs="Times New Roman"/>
        </w:rPr>
        <w:t>；</w:t>
      </w:r>
    </w:p>
    <w:p>
      <w:pPr>
        <w:pStyle w:val="58"/>
        <w:ind w:firstLine="420"/>
        <w:rPr>
          <w:rFonts w:hint="eastAsia"/>
        </w:rPr>
      </w:pPr>
      <w:r>
        <w:rPr>
          <w:rFonts w:hint="eastAsia" w:hAnsi="Times New Roman" w:cs="Times New Roman"/>
        </w:rPr>
        <w:t>--第8部分：</w:t>
      </w:r>
      <w:r>
        <w:rPr>
          <w:rFonts w:hint="eastAsia" w:hAnsi="Times New Roman" w:cs="Times New Roman"/>
          <w:lang w:val="en-US" w:eastAsia="zh-CN"/>
        </w:rPr>
        <w:t>消毒供应中心</w:t>
      </w:r>
      <w:r>
        <w:rPr>
          <w:rFonts w:hint="eastAsia"/>
        </w:rPr>
        <w:t>。</w:t>
      </w:r>
    </w:p>
    <w:p>
      <w:pPr>
        <w:pStyle w:val="58"/>
        <w:ind w:firstLine="420"/>
        <w:rPr>
          <w:rFonts w:hint="eastAsia" w:hAnsi="Times New Roman" w:cs="Times New Roman"/>
          <w:lang w:eastAsia="zh-CN"/>
        </w:rPr>
      </w:pPr>
      <w:r>
        <w:rPr>
          <w:rFonts w:hint="eastAsia"/>
        </w:rPr>
        <w:t>DB32/T XXX的制定是</w:t>
      </w:r>
      <w:r>
        <w:rPr>
          <w:rFonts w:hint="eastAsia" w:hAnsi="Times New Roman" w:cs="Times New Roman"/>
          <w:lang w:val="en-US" w:eastAsia="zh-CN"/>
        </w:rPr>
        <w:t>通过建设县级（区域）医疗资源</w:t>
      </w:r>
      <w:r>
        <w:rPr>
          <w:rFonts w:hint="eastAsia"/>
          <w:lang w:val="en-US" w:eastAsia="zh-CN"/>
        </w:rPr>
        <w:t>集中化运行规范</w:t>
      </w:r>
      <w:r>
        <w:rPr>
          <w:rFonts w:hint="eastAsia" w:hAnsi="Times New Roman" w:cs="Times New Roman"/>
          <w:lang w:val="en-US" w:eastAsia="zh-CN"/>
        </w:rPr>
        <w:t>，</w:t>
      </w:r>
      <w:r>
        <w:rPr>
          <w:rFonts w:hint="eastAsia" w:hAnsi="Times New Roman" w:cs="Times New Roman"/>
        </w:rPr>
        <w:t>依托于</w:t>
      </w:r>
      <w:r>
        <w:rPr>
          <w:rFonts w:hint="eastAsia" w:hAnsi="Times New Roman" w:cs="Times New Roman"/>
          <w:lang w:eastAsia="zh-CN"/>
        </w:rPr>
        <w:t>“</w:t>
      </w:r>
      <w:r>
        <w:rPr>
          <w:rFonts w:hint="eastAsia" w:hAnsi="Times New Roman" w:cs="Times New Roman"/>
        </w:rPr>
        <w:t>互联网+</w:t>
      </w:r>
      <w:r>
        <w:rPr>
          <w:rFonts w:hint="eastAsia" w:hAnsi="Times New Roman" w:cs="Times New Roman"/>
          <w:lang w:eastAsia="zh-CN"/>
        </w:rPr>
        <w:t>”</w:t>
      </w:r>
      <w:r>
        <w:rPr>
          <w:rFonts w:hint="eastAsia" w:hAnsi="Times New Roman" w:cs="Times New Roman"/>
        </w:rPr>
        <w:t>和智能化技术的信息系统，能够打破信息壁垒，提升</w:t>
      </w:r>
      <w:r>
        <w:rPr>
          <w:rFonts w:hint="eastAsia" w:hAnsi="Times New Roman" w:cs="Times New Roman"/>
          <w:lang w:val="en-US" w:eastAsia="zh-CN"/>
        </w:rPr>
        <w:t>县级（区域）</w:t>
      </w:r>
      <w:r>
        <w:rPr>
          <w:rFonts w:hint="eastAsia" w:hAnsi="Times New Roman" w:cs="Times New Roman"/>
        </w:rPr>
        <w:t>医疗服务的协同性和一体化水平，</w:t>
      </w:r>
      <w:r>
        <w:rPr>
          <w:rFonts w:hint="eastAsia" w:hAnsi="Times New Roman" w:cs="Times New Roman"/>
          <w:lang w:val="en-US" w:eastAsia="zh-CN"/>
        </w:rPr>
        <w:t>以更好</w:t>
      </w:r>
      <w:r>
        <w:rPr>
          <w:rFonts w:hint="eastAsia" w:hAnsi="Times New Roman" w:cs="Times New Roman"/>
        </w:rPr>
        <w:t>优化资源配置、改善患者就医体验</w:t>
      </w:r>
      <w:r>
        <w:rPr>
          <w:rFonts w:hint="eastAsia" w:hAnsi="Times New Roman" w:cs="Times New Roman"/>
          <w:lang w:eastAsia="zh-CN"/>
        </w:rPr>
        <w:t>。</w:t>
      </w:r>
    </w:p>
    <w:p>
      <w:pPr>
        <w:pStyle w:val="58"/>
        <w:ind w:firstLine="420"/>
        <w:rPr>
          <w:rFonts w:hint="eastAsia" w:hAnsi="Times New Roman" w:cs="Times New Roman"/>
          <w:lang w:eastAsia="zh-CN"/>
        </w:rPr>
      </w:pPr>
    </w:p>
    <w:p>
      <w:pPr>
        <w:pStyle w:val="58"/>
        <w:ind w:firstLine="420"/>
        <w:rPr>
          <w:rFonts w:hint="eastAsia" w:hAnsi="Times New Roman" w:cs="Times New Roman"/>
          <w:lang w:eastAsia="zh-CN"/>
        </w:rPr>
      </w:pPr>
    </w:p>
    <w:p>
      <w:pPr>
        <w:pStyle w:val="58"/>
        <w:ind w:firstLine="420"/>
        <w:rPr>
          <w:rFonts w:hint="eastAsia" w:hAnsi="Times New Roman" w:cs="Times New Roman"/>
          <w:lang w:eastAsia="zh-CN"/>
        </w:rPr>
      </w:pPr>
    </w:p>
    <w:p>
      <w:pPr>
        <w:pStyle w:val="58"/>
        <w:ind w:firstLine="420"/>
        <w:rPr>
          <w:rFonts w:hint="eastAsia" w:hAnsi="Times New Roman" w:cs="Times New Roman"/>
          <w:lang w:eastAsia="zh-CN"/>
        </w:rPr>
      </w:pPr>
    </w:p>
    <w:p>
      <w:pPr>
        <w:pStyle w:val="58"/>
        <w:ind w:firstLine="420"/>
        <w:rPr>
          <w:rFonts w:hint="eastAsia" w:hAnsi="Times New Roman" w:cs="Times New Roman"/>
          <w:lang w:eastAsia="zh-CN"/>
        </w:rPr>
      </w:pPr>
    </w:p>
    <w:p>
      <w:pPr>
        <w:pStyle w:val="58"/>
        <w:ind w:firstLine="420"/>
        <w:rPr>
          <w:rFonts w:hint="eastAsia" w:hAnsi="Times New Roman" w:cs="Times New Roman"/>
          <w:lang w:eastAsia="zh-CN"/>
        </w:rPr>
      </w:pPr>
    </w:p>
    <w:p>
      <w:pPr>
        <w:pStyle w:val="58"/>
        <w:ind w:firstLine="420"/>
        <w:rPr>
          <w:rFonts w:hint="eastAsia" w:hAnsi="Times New Roman" w:cs="Times New Roman"/>
          <w:lang w:eastAsia="zh-CN"/>
        </w:rPr>
      </w:pPr>
    </w:p>
    <w:p>
      <w:pPr>
        <w:pStyle w:val="58"/>
        <w:ind w:firstLine="420"/>
        <w:rPr>
          <w:rFonts w:hint="eastAsia" w:hAnsi="Times New Roman" w:cs="Times New Roman"/>
          <w:lang w:eastAsia="zh-CN"/>
        </w:rPr>
      </w:pPr>
    </w:p>
    <w:p>
      <w:pPr>
        <w:pStyle w:val="58"/>
        <w:ind w:firstLine="420"/>
        <w:rPr>
          <w:rFonts w:hint="eastAsia" w:hAnsi="Times New Roman" w:cs="Times New Roman"/>
          <w:lang w:eastAsia="zh-CN"/>
        </w:rPr>
      </w:pPr>
    </w:p>
    <w:p>
      <w:pPr>
        <w:pStyle w:val="58"/>
        <w:ind w:firstLine="420"/>
        <w:rPr>
          <w:rFonts w:hint="eastAsia" w:hAnsi="Times New Roman" w:cs="Times New Roman"/>
          <w:lang w:eastAsia="zh-CN"/>
        </w:rPr>
      </w:pPr>
    </w:p>
    <w:p>
      <w:pPr>
        <w:pStyle w:val="58"/>
        <w:ind w:firstLine="420"/>
        <w:rPr>
          <w:rFonts w:hint="eastAsia" w:hAnsi="Times New Roman" w:cs="Times New Roman"/>
          <w:lang w:eastAsia="zh-CN"/>
        </w:rPr>
      </w:pPr>
    </w:p>
    <w:p>
      <w:pPr>
        <w:pStyle w:val="58"/>
        <w:ind w:firstLine="420"/>
        <w:rPr>
          <w:rFonts w:hint="eastAsia" w:hAnsi="Times New Roman" w:cs="Times New Roman"/>
          <w:lang w:eastAsia="zh-CN"/>
        </w:rPr>
      </w:pPr>
    </w:p>
    <w:p>
      <w:pPr>
        <w:pStyle w:val="58"/>
        <w:ind w:firstLine="420"/>
        <w:rPr>
          <w:rFonts w:hint="eastAsia" w:hAnsi="Times New Roman" w:cs="Times New Roman"/>
          <w:lang w:eastAsia="zh-CN"/>
        </w:rPr>
      </w:pPr>
    </w:p>
    <w:p>
      <w:pPr>
        <w:pStyle w:val="58"/>
        <w:ind w:firstLine="420"/>
        <w:rPr>
          <w:rFonts w:hint="eastAsia" w:hAnsi="Times New Roman" w:cs="Times New Roman"/>
          <w:lang w:eastAsia="zh-CN"/>
        </w:rPr>
      </w:pPr>
    </w:p>
    <w:p>
      <w:pPr>
        <w:pStyle w:val="58"/>
        <w:ind w:firstLine="420"/>
        <w:rPr>
          <w:rFonts w:hint="eastAsia" w:hAnsi="Times New Roman" w:cs="Times New Roman"/>
          <w:lang w:eastAsia="zh-CN"/>
        </w:rPr>
      </w:pPr>
    </w:p>
    <w:p>
      <w:pPr>
        <w:pStyle w:val="58"/>
        <w:ind w:firstLine="420"/>
        <w:rPr>
          <w:rFonts w:hint="eastAsia" w:hAnsi="Times New Roman" w:cs="Times New Roman"/>
          <w:lang w:eastAsia="zh-CN"/>
        </w:rPr>
      </w:pPr>
    </w:p>
    <w:p>
      <w:pPr>
        <w:pStyle w:val="58"/>
        <w:ind w:firstLine="420"/>
        <w:rPr>
          <w:rFonts w:hint="eastAsia" w:hAnsi="Times New Roman" w:cs="Times New Roman"/>
          <w:lang w:eastAsia="zh-CN"/>
        </w:rPr>
      </w:pPr>
    </w:p>
    <w:p>
      <w:pPr>
        <w:pStyle w:val="58"/>
        <w:ind w:firstLine="420"/>
        <w:rPr>
          <w:rFonts w:hint="eastAsia" w:hAnsi="Times New Roman" w:cs="Times New Roman"/>
          <w:lang w:eastAsia="zh-CN"/>
        </w:rPr>
      </w:pPr>
    </w:p>
    <w:p>
      <w:pPr>
        <w:pStyle w:val="58"/>
        <w:ind w:firstLine="420"/>
        <w:rPr>
          <w:rFonts w:hint="eastAsia" w:hAnsi="Times New Roman" w:cs="Times New Roman"/>
          <w:lang w:eastAsia="zh-CN"/>
        </w:rPr>
      </w:pPr>
    </w:p>
    <w:p>
      <w:pPr>
        <w:pStyle w:val="58"/>
        <w:ind w:firstLine="420"/>
        <w:rPr>
          <w:rFonts w:hint="eastAsia" w:hAnsi="Times New Roman" w:cs="Times New Roman"/>
          <w:lang w:eastAsia="zh-CN"/>
        </w:rPr>
      </w:pPr>
    </w:p>
    <w:p>
      <w:pPr>
        <w:pStyle w:val="58"/>
        <w:ind w:firstLine="420"/>
        <w:rPr>
          <w:rFonts w:hint="eastAsia" w:hAnsi="Times New Roman" w:cs="Times New Roman"/>
          <w:lang w:eastAsia="zh-CN"/>
        </w:rPr>
      </w:pPr>
    </w:p>
    <w:p>
      <w:pPr>
        <w:spacing w:line="20" w:lineRule="exact"/>
        <w:jc w:val="center"/>
        <w:rPr>
          <w:rFonts w:ascii="黑体" w:hAnsi="黑体" w:eastAsia="黑体"/>
          <w:sz w:val="32"/>
          <w:szCs w:val="32"/>
        </w:rPr>
      </w:pPr>
    </w:p>
    <w:p>
      <w:pPr>
        <w:spacing w:line="20" w:lineRule="exact"/>
        <w:jc w:val="center"/>
        <w:rPr>
          <w:rFonts w:ascii="黑体" w:hAnsi="黑体" w:eastAsia="黑体"/>
          <w:sz w:val="32"/>
          <w:szCs w:val="32"/>
        </w:rPr>
      </w:pPr>
    </w:p>
    <w:sdt>
      <w:sdtPr>
        <w:rPr>
          <w:rFonts w:hint="eastAsia" w:cs="Times New Roman"/>
        </w:rPr>
        <w:tag w:val="NEW_STAND_NAME"/>
        <w:id w:val="595910757"/>
        <w:lock w:val="sdtLocked"/>
        <w:placeholder>
          <w:docPart w:val="BFCE58B174A849EE83A3AAA480459D10"/>
        </w:placeholder>
      </w:sdtPr>
      <w:sdtEndPr>
        <w:rPr>
          <w:rFonts w:hint="eastAsia" w:cs="Times New Roman"/>
        </w:rPr>
      </w:sdtEndPr>
      <w:sdtContent>
        <w:p>
          <w:pPr>
            <w:pStyle w:val="179"/>
            <w:spacing w:before="3" w:beforeLines="1" w:after="3" w:afterLines="1"/>
            <w:rPr>
              <w:rFonts w:hint="eastAsia" w:eastAsia="黑体" w:cs="Times New Roman"/>
              <w:lang w:eastAsia="zh-CN"/>
            </w:rPr>
          </w:pPr>
          <w:bookmarkStart w:id="30" w:name="NEW_STAND_NAME"/>
          <w:r>
            <w:rPr>
              <w:rFonts w:hint="eastAsia" w:cs="Times New Roman"/>
              <w:lang w:eastAsia="zh-CN"/>
            </w:rPr>
            <w:t>县级（区域）医疗资源集中化运行规范</w:t>
          </w:r>
        </w:p>
        <w:p>
          <w:pPr>
            <w:pStyle w:val="179"/>
            <w:spacing w:before="3" w:beforeLines="1" w:after="680"/>
          </w:pPr>
          <w:r>
            <w:rPr>
              <w:rFonts w:hint="eastAsia"/>
            </w:rPr>
            <w:t>第</w:t>
          </w:r>
          <w:r>
            <w:t>1部分：</w:t>
          </w:r>
          <w:r>
            <w:rPr>
              <w:rFonts w:hint="eastAsia"/>
              <w:lang w:val="en-US" w:eastAsia="zh-CN"/>
            </w:rPr>
            <w:t>集中审方中心</w:t>
          </w:r>
        </w:p>
      </w:sdtContent>
    </w:sdt>
    <w:bookmarkEnd w:id="30"/>
    <w:p>
      <w:pPr>
        <w:pStyle w:val="106"/>
        <w:spacing w:before="312" w:after="312"/>
      </w:pPr>
      <w:bookmarkStart w:id="31" w:name="_Toc26718930"/>
      <w:bookmarkStart w:id="32" w:name="_Toc17233333"/>
      <w:bookmarkStart w:id="33" w:name="_Toc26648465"/>
      <w:bookmarkStart w:id="34" w:name="_Toc24884218"/>
      <w:bookmarkStart w:id="35" w:name="_Toc97191423"/>
      <w:bookmarkStart w:id="36" w:name="_Toc161646155"/>
      <w:bookmarkStart w:id="37" w:name="_Toc165043124"/>
      <w:bookmarkStart w:id="38" w:name="_Toc17233325"/>
      <w:bookmarkStart w:id="39" w:name="_Toc26986530"/>
      <w:bookmarkStart w:id="40" w:name="_Toc24884211"/>
      <w:bookmarkStart w:id="41" w:name="_Toc165043144"/>
      <w:bookmarkStart w:id="42" w:name="_Toc26986771"/>
      <w:r>
        <w:rPr>
          <w:rFonts w:hint="eastAsia"/>
        </w:rPr>
        <w:t>范围</w:t>
      </w:r>
      <w:bookmarkEnd w:id="31"/>
      <w:bookmarkEnd w:id="32"/>
      <w:bookmarkEnd w:id="33"/>
      <w:bookmarkEnd w:id="34"/>
      <w:bookmarkEnd w:id="35"/>
      <w:bookmarkEnd w:id="36"/>
      <w:bookmarkEnd w:id="37"/>
      <w:bookmarkEnd w:id="38"/>
      <w:bookmarkEnd w:id="39"/>
      <w:bookmarkEnd w:id="40"/>
      <w:bookmarkEnd w:id="41"/>
      <w:bookmarkEnd w:id="42"/>
    </w:p>
    <w:p>
      <w:pPr>
        <w:pStyle w:val="58"/>
        <w:keepNext w:val="0"/>
        <w:keepLines w:val="0"/>
        <w:pageBreakBefore w:val="0"/>
        <w:kinsoku/>
        <w:wordWrap/>
        <w:overflowPunct/>
        <w:topLinePunct w:val="0"/>
        <w:bidi w:val="0"/>
        <w:spacing w:line="240" w:lineRule="auto"/>
        <w:ind w:left="0" w:right="0" w:firstLine="420" w:firstLineChars="200"/>
        <w:rPr>
          <w:rFonts w:hint="eastAsia" w:ascii="仿宋" w:hAnsi="仿宋" w:eastAsia="宋体" w:cs="仿宋"/>
          <w:bCs/>
          <w:spacing w:val="15"/>
          <w:sz w:val="28"/>
          <w:szCs w:val="28"/>
          <w:shd w:val="clear" w:color="auto" w:fill="FFFFFF"/>
          <w:lang w:eastAsia="zh-CN"/>
        </w:rPr>
      </w:pPr>
      <w:bookmarkStart w:id="43" w:name="_Toc24884219"/>
      <w:bookmarkStart w:id="44" w:name="_Toc17233326"/>
      <w:bookmarkStart w:id="45" w:name="_Toc97191424"/>
      <w:bookmarkStart w:id="46" w:name="_Toc165043145"/>
      <w:bookmarkStart w:id="47" w:name="_Toc26648466"/>
      <w:bookmarkStart w:id="48" w:name="_Toc26986531"/>
      <w:bookmarkStart w:id="49" w:name="_Toc17233334"/>
      <w:bookmarkStart w:id="50" w:name="_Toc24884212"/>
      <w:bookmarkStart w:id="51" w:name="_Toc161646156"/>
      <w:bookmarkStart w:id="52" w:name="_Toc26986772"/>
      <w:bookmarkStart w:id="53" w:name="_Toc165043125"/>
      <w:bookmarkStart w:id="54" w:name="_Toc26718931"/>
      <w:r>
        <w:rPr>
          <w:rFonts w:hint="eastAsia"/>
        </w:rPr>
        <w:t>本文件规定了</w:t>
      </w:r>
      <w:r>
        <w:rPr>
          <w:rFonts w:hint="eastAsia"/>
          <w:lang w:val="en-US" w:eastAsia="zh-CN"/>
        </w:rPr>
        <w:t>县级（区域）</w:t>
      </w:r>
      <w:r>
        <w:rPr>
          <w:rFonts w:hint="eastAsia"/>
          <w:lang w:eastAsia="zh-CN"/>
        </w:rPr>
        <w:t>集中审方</w:t>
      </w:r>
      <w:r>
        <w:rPr>
          <w:rFonts w:hint="eastAsia"/>
        </w:rPr>
        <w:t>中心的建设要求、运营</w:t>
      </w:r>
      <w:r>
        <w:rPr>
          <w:rFonts w:hint="eastAsia"/>
          <w:lang w:val="en-US" w:eastAsia="zh-CN"/>
        </w:rPr>
        <w:t>及</w:t>
      </w:r>
      <w:r>
        <w:rPr>
          <w:rFonts w:hint="eastAsia"/>
        </w:rPr>
        <w:t>处方审核全过程的质量管理</w:t>
      </w:r>
      <w:r>
        <w:rPr>
          <w:rFonts w:hint="eastAsia"/>
          <w:lang w:eastAsia="zh-CN"/>
        </w:rPr>
        <w:t>。</w:t>
      </w:r>
    </w:p>
    <w:p>
      <w:pPr>
        <w:pStyle w:val="106"/>
        <w:spacing w:before="312" w:after="312"/>
      </w:pPr>
      <w:r>
        <w:rPr>
          <w:rFonts w:hint="eastAsia"/>
        </w:rPr>
        <w:t>规范性引用文件</w:t>
      </w:r>
      <w:bookmarkEnd w:id="43"/>
      <w:bookmarkEnd w:id="44"/>
      <w:bookmarkEnd w:id="45"/>
      <w:bookmarkEnd w:id="46"/>
      <w:bookmarkEnd w:id="47"/>
      <w:bookmarkEnd w:id="48"/>
      <w:bookmarkEnd w:id="49"/>
      <w:bookmarkEnd w:id="50"/>
      <w:bookmarkEnd w:id="51"/>
      <w:bookmarkEnd w:id="52"/>
      <w:bookmarkEnd w:id="53"/>
      <w:bookmarkEnd w:id="54"/>
    </w:p>
    <w:p>
      <w:pPr>
        <w:pStyle w:val="58"/>
        <w:keepNext w:val="0"/>
        <w:keepLines w:val="0"/>
        <w:pageBreakBefore w:val="0"/>
        <w:kinsoku/>
        <w:wordWrap/>
        <w:overflowPunct/>
        <w:topLinePunct w:val="0"/>
        <w:bidi w:val="0"/>
        <w:spacing w:line="240" w:lineRule="auto"/>
        <w:ind w:left="0" w:right="0" w:firstLine="420" w:firstLineChars="200"/>
      </w:pPr>
      <w:bookmarkStart w:id="55" w:name="_Toc165043126"/>
      <w:bookmarkStart w:id="56" w:name="_Toc161646157"/>
      <w:bookmarkStart w:id="57" w:name="_Toc97191425"/>
      <w:bookmarkStart w:id="58" w:name="_Toc165043146"/>
      <w:sdt>
        <w:sdtPr>
          <w:rPr>
            <w:rFonts w:hint="eastAsia"/>
          </w:rPr>
          <w:id w:val="715848253"/>
          <w:placeholder>
            <w:docPart w:val="{70499096-eb7e-48ec-a3d4-4be0ffd043bf}"/>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sdtContent>
      </w:sdt>
    </w:p>
    <w:p>
      <w:pPr>
        <w:pStyle w:val="58"/>
        <w:keepNext w:val="0"/>
        <w:keepLines w:val="0"/>
        <w:pageBreakBefore w:val="0"/>
        <w:kinsoku/>
        <w:wordWrap/>
        <w:overflowPunct/>
        <w:topLinePunct w:val="0"/>
        <w:bidi w:val="0"/>
        <w:spacing w:line="240" w:lineRule="auto"/>
        <w:ind w:left="0" w:right="0" w:firstLine="420" w:firstLineChars="200"/>
        <w:rPr>
          <w:rFonts w:hint="default"/>
          <w:lang w:val="en-US" w:eastAsia="zh-CN"/>
        </w:rPr>
      </w:pPr>
      <w:r>
        <w:rPr>
          <w:rFonts w:hint="eastAsia"/>
          <w:lang w:val="en-US" w:eastAsia="zh-CN"/>
        </w:rPr>
        <w:t>主席令第三十一号           《中华人民共和国药品管理法》（2019年版）</w:t>
      </w:r>
    </w:p>
    <w:p>
      <w:pPr>
        <w:keepNext w:val="0"/>
        <w:keepLines w:val="0"/>
        <w:pageBreakBefore w:val="0"/>
        <w:widowControl w:val="0"/>
        <w:kinsoku/>
        <w:wordWrap/>
        <w:overflowPunct/>
        <w:topLinePunct w:val="0"/>
        <w:autoSpaceDE/>
        <w:autoSpaceDN/>
        <w:bidi w:val="0"/>
        <w:adjustRightInd/>
        <w:snapToGrid w:val="0"/>
        <w:spacing w:line="240" w:lineRule="auto"/>
        <w:ind w:left="0" w:right="0" w:firstLine="420" w:firstLineChars="200"/>
        <w:textAlignment w:val="baseline"/>
        <w:rPr>
          <w:rFonts w:hint="eastAsia" w:ascii="宋体" w:hAnsi="Times New Roman" w:eastAsia="宋体" w:cs="Times New Roman"/>
          <w:kern w:val="0"/>
          <w:sz w:val="21"/>
          <w:szCs w:val="20"/>
          <w:lang w:val="en-US" w:eastAsia="zh-CN" w:bidi="ar-SA"/>
        </w:rPr>
      </w:pPr>
      <w:r>
        <w:rPr>
          <w:rFonts w:hint="eastAsia" w:ascii="宋体" w:hAnsi="Times New Roman" w:eastAsia="宋体" w:cs="Times New Roman"/>
          <w:kern w:val="0"/>
          <w:sz w:val="21"/>
          <w:szCs w:val="20"/>
          <w:lang w:val="en-US" w:eastAsia="zh-CN" w:bidi="ar-SA"/>
        </w:rPr>
        <w:t>卫生部令第 53 号</w:t>
      </w:r>
      <w:r>
        <w:rPr>
          <w:rFonts w:hint="eastAsia" w:ascii="宋体" w:hAnsi="Times New Roman" w:cs="Times New Roman"/>
          <w:kern w:val="0"/>
          <w:sz w:val="21"/>
          <w:szCs w:val="20"/>
          <w:lang w:val="en-US" w:eastAsia="zh-CN" w:bidi="ar-SA"/>
        </w:rPr>
        <w:t xml:space="preserve">           </w:t>
      </w:r>
      <w:r>
        <w:rPr>
          <w:rFonts w:hint="eastAsia" w:ascii="宋体" w:hAnsi="Times New Roman" w:eastAsia="宋体" w:cs="Times New Roman"/>
          <w:kern w:val="0"/>
          <w:sz w:val="21"/>
          <w:szCs w:val="20"/>
          <w:lang w:val="en-US" w:eastAsia="zh-CN" w:bidi="ar-SA"/>
        </w:rPr>
        <w:t>《处方管理办法》</w:t>
      </w:r>
    </w:p>
    <w:p>
      <w:pPr>
        <w:pStyle w:val="58"/>
        <w:keepNext w:val="0"/>
        <w:keepLines w:val="0"/>
        <w:pageBreakBefore w:val="0"/>
        <w:kinsoku/>
        <w:wordWrap/>
        <w:overflowPunct/>
        <w:topLinePunct w:val="0"/>
        <w:bidi w:val="0"/>
        <w:spacing w:line="240" w:lineRule="auto"/>
        <w:ind w:left="0" w:right="0" w:firstLine="420" w:firstLineChars="200"/>
        <w:rPr>
          <w:rFonts w:hint="eastAsia"/>
          <w:lang w:val="en-US" w:eastAsia="zh-CN"/>
        </w:rPr>
      </w:pPr>
      <w:r>
        <w:rPr>
          <w:rFonts w:hint="eastAsia"/>
          <w:lang w:val="en-US" w:eastAsia="zh-CN"/>
        </w:rPr>
        <w:t>国卫医管发〔2010〕28 号    《医院处方点评管理规范（试行）》</w:t>
      </w:r>
    </w:p>
    <w:p>
      <w:pPr>
        <w:pStyle w:val="58"/>
        <w:keepNext w:val="0"/>
        <w:keepLines w:val="0"/>
        <w:pageBreakBefore w:val="0"/>
        <w:kinsoku/>
        <w:wordWrap/>
        <w:overflowPunct/>
        <w:topLinePunct w:val="0"/>
        <w:bidi w:val="0"/>
        <w:spacing w:line="240" w:lineRule="auto"/>
        <w:ind w:left="0" w:right="0" w:firstLine="420" w:firstLineChars="200"/>
        <w:rPr>
          <w:rFonts w:hint="eastAsia"/>
        </w:rPr>
      </w:pPr>
      <w:r>
        <w:rPr>
          <w:rFonts w:hint="eastAsia"/>
          <w:lang w:val="en-US" w:eastAsia="zh-CN"/>
        </w:rPr>
        <w:t>国卫医政发〔2011〕11 号    《医疗机构药事管理规定》</w:t>
      </w:r>
    </w:p>
    <w:p>
      <w:pPr>
        <w:pStyle w:val="58"/>
        <w:keepNext w:val="0"/>
        <w:keepLines w:val="0"/>
        <w:pageBreakBefore w:val="0"/>
        <w:kinsoku/>
        <w:wordWrap/>
        <w:overflowPunct/>
        <w:topLinePunct w:val="0"/>
        <w:bidi w:val="0"/>
        <w:spacing w:line="240" w:lineRule="auto"/>
        <w:ind w:left="0" w:right="0" w:firstLine="420" w:firstLineChars="200"/>
        <w:rPr>
          <w:rFonts w:hint="eastAsia"/>
          <w:lang w:val="en-US" w:eastAsia="zh-CN"/>
        </w:rPr>
      </w:pPr>
      <w:r>
        <w:rPr>
          <w:rFonts w:hint="eastAsia"/>
          <w:lang w:val="en-US" w:eastAsia="zh-CN"/>
        </w:rPr>
        <w:t>国卫办医发〔2018〕14 号    《医疗机构处方审核规范》</w:t>
      </w:r>
    </w:p>
    <w:p>
      <w:pPr>
        <w:pStyle w:val="58"/>
        <w:keepNext w:val="0"/>
        <w:keepLines w:val="0"/>
        <w:pageBreakBefore w:val="0"/>
        <w:kinsoku/>
        <w:wordWrap/>
        <w:overflowPunct/>
        <w:topLinePunct w:val="0"/>
        <w:bidi w:val="0"/>
        <w:spacing w:line="240" w:lineRule="auto"/>
        <w:ind w:left="0" w:right="0" w:firstLine="420" w:firstLineChars="200"/>
        <w:rPr>
          <w:rFonts w:hint="eastAsia"/>
          <w:lang w:val="en-US" w:eastAsia="zh-CN"/>
        </w:rPr>
      </w:pPr>
      <w:r>
        <w:rPr>
          <w:rFonts w:hint="eastAsia"/>
          <w:lang w:val="en-US" w:eastAsia="zh-CN"/>
        </w:rPr>
        <w:t>国卫医发〔2018〕45 号      《关于加快药学服务高质量发展的意见》</w:t>
      </w:r>
    </w:p>
    <w:p>
      <w:pPr>
        <w:pStyle w:val="58"/>
        <w:keepNext w:val="0"/>
        <w:keepLines w:val="0"/>
        <w:pageBreakBefore w:val="0"/>
        <w:kinsoku/>
        <w:wordWrap/>
        <w:overflowPunct/>
        <w:topLinePunct w:val="0"/>
        <w:bidi w:val="0"/>
        <w:spacing w:line="240" w:lineRule="auto"/>
        <w:ind w:left="0" w:right="0" w:firstLine="420" w:firstLineChars="200"/>
        <w:rPr>
          <w:rFonts w:hint="eastAsia"/>
          <w:lang w:val="en-US" w:eastAsia="zh-CN"/>
        </w:rPr>
      </w:pPr>
      <w:r>
        <w:rPr>
          <w:rFonts w:hint="eastAsia"/>
          <w:lang w:val="en-US" w:eastAsia="zh-CN"/>
        </w:rPr>
        <w:t>国卫医发〔2020〕2 号       《关于加强医疗机构药事管理促进合理用药的意见》</w:t>
      </w:r>
    </w:p>
    <w:p>
      <w:pPr>
        <w:pStyle w:val="58"/>
        <w:keepNext w:val="0"/>
        <w:keepLines w:val="0"/>
        <w:pageBreakBefore w:val="0"/>
        <w:kinsoku/>
        <w:wordWrap/>
        <w:overflowPunct/>
        <w:topLinePunct w:val="0"/>
        <w:bidi w:val="0"/>
        <w:spacing w:line="240" w:lineRule="auto"/>
        <w:ind w:left="0" w:right="0" w:firstLine="420" w:firstLineChars="200"/>
        <w:rPr>
          <w:rFonts w:hint="eastAsia"/>
          <w:lang w:val="en-US" w:eastAsia="zh-CN"/>
        </w:rPr>
      </w:pPr>
      <w:r>
        <w:rPr>
          <w:rFonts w:hint="default"/>
          <w:lang w:val="en-US" w:eastAsia="zh-CN"/>
        </w:rPr>
        <w:t>国卫基层发〔2023〕41号</w:t>
      </w:r>
      <w:r>
        <w:rPr>
          <w:rFonts w:hint="eastAsia"/>
          <w:lang w:val="en-US" w:eastAsia="zh-CN"/>
        </w:rPr>
        <w:t xml:space="preserve">     </w:t>
      </w:r>
      <w:r>
        <w:rPr>
          <w:rFonts w:hint="default"/>
          <w:lang w:val="en-US" w:eastAsia="zh-CN"/>
        </w:rPr>
        <w:t>《关于全面推进紧密型县域医疗卫生共同体建设的指导意见》</w:t>
      </w:r>
    </w:p>
    <w:p>
      <w:pPr>
        <w:pStyle w:val="106"/>
        <w:spacing w:before="312" w:after="312"/>
      </w:pPr>
      <w:r>
        <w:rPr>
          <w:rFonts w:hint="eastAsia"/>
        </w:rPr>
        <w:t>术语和定义</w:t>
      </w:r>
      <w:bookmarkEnd w:id="55"/>
      <w:bookmarkEnd w:id="56"/>
      <w:bookmarkEnd w:id="57"/>
      <w:bookmarkEnd w:id="58"/>
    </w:p>
    <w:sdt>
      <w:sdtPr>
        <w:id w:val="-1909835108"/>
        <w:placeholder>
          <w:docPart w:val="A5BAB2DD74C44EC7B1686647C3569DB6"/>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pPr>
            <w:pStyle w:val="58"/>
            <w:ind w:firstLine="420"/>
          </w:pPr>
          <w:bookmarkStart w:id="59" w:name="_Toc26986532"/>
          <w:bookmarkEnd w:id="59"/>
          <w:r>
            <w:t>下列术语和定义适用于本文件。</w:t>
          </w:r>
        </w:p>
      </w:sdtContent>
    </w:sdt>
    <w:p>
      <w:pPr>
        <w:pStyle w:val="225"/>
        <w:ind w:left="420" w:hanging="420" w:hangingChars="200"/>
        <w:rPr>
          <w:rFonts w:ascii="黑体" w:hAnsi="黑体" w:eastAsia="黑体"/>
        </w:rPr>
      </w:pPr>
    </w:p>
    <w:p>
      <w:pPr>
        <w:pStyle w:val="106"/>
        <w:keepNext w:val="0"/>
        <w:keepLines w:val="0"/>
        <w:pageBreakBefore w:val="0"/>
        <w:numPr>
          <w:ilvl w:val="1"/>
          <w:numId w:val="0"/>
        </w:numPr>
        <w:kinsoku/>
        <w:wordWrap/>
        <w:overflowPunct/>
        <w:topLinePunct w:val="0"/>
        <w:bidi w:val="0"/>
        <w:spacing w:before="0" w:beforeLines="0" w:after="0" w:afterLines="0" w:line="240" w:lineRule="auto"/>
        <w:ind w:left="0" w:leftChars="0" w:right="0" w:firstLine="420" w:firstLineChars="200"/>
        <w:rPr>
          <w:rFonts w:hint="eastAsia"/>
          <w:lang w:val="en-US" w:eastAsia="zh-CN"/>
        </w:rPr>
      </w:pPr>
      <w:bookmarkStart w:id="60" w:name="_Toc164325717"/>
      <w:bookmarkStart w:id="61" w:name="_Toc164326230"/>
      <w:bookmarkStart w:id="62" w:name="_Toc164325759"/>
      <w:bookmarkStart w:id="63" w:name="_Toc164326071"/>
      <w:bookmarkStart w:id="64" w:name="_Toc164326038"/>
      <w:r>
        <w:rPr>
          <w:rFonts w:hint="eastAsia"/>
          <w:lang w:val="en-US" w:eastAsia="zh-CN"/>
        </w:rPr>
        <w:t>（区域）集中审方中心</w:t>
      </w:r>
      <w:bookmarkEnd w:id="60"/>
      <w:bookmarkEnd w:id="61"/>
      <w:bookmarkEnd w:id="62"/>
      <w:bookmarkEnd w:id="63"/>
      <w:bookmarkEnd w:id="64"/>
    </w:p>
    <w:p>
      <w:pPr>
        <w:pStyle w:val="58"/>
        <w:keepNext w:val="0"/>
        <w:keepLines w:val="0"/>
        <w:pageBreakBefore w:val="0"/>
        <w:kinsoku/>
        <w:wordWrap/>
        <w:overflowPunct/>
        <w:topLinePunct w:val="0"/>
        <w:bidi w:val="0"/>
        <w:spacing w:line="240" w:lineRule="auto"/>
        <w:ind w:left="0" w:right="0" w:firstLine="420" w:firstLineChars="200"/>
        <w:rPr>
          <w:rFonts w:hint="eastAsia"/>
          <w:lang w:val="en-US" w:eastAsia="zh-CN"/>
        </w:rPr>
      </w:pPr>
      <w:r>
        <w:rPr>
          <w:rFonts w:hint="eastAsia"/>
          <w:lang w:val="en-US" w:eastAsia="zh-CN"/>
        </w:rPr>
        <w:t>是根据辖区面积、人口、地理特点、医疗资源配置等具体情况，由本级卫健委、县域医共体牵头单位在本辖区内组建。负责医共体内医疗机构处方审核的规划、实施、合理用药监控以及相关人员培训等工作。同时，可面向本辖区内有需求的公立或民营中小微型医疗机构（如一级医院、社区卫生服务中心/站、卫生院、门诊部）、医保零售药店等提供以上服务。</w:t>
      </w:r>
    </w:p>
    <w:p>
      <w:pPr>
        <w:pStyle w:val="58"/>
        <w:ind w:firstLine="420"/>
      </w:pPr>
    </w:p>
    <w:p>
      <w:pPr>
        <w:pStyle w:val="225"/>
        <w:ind w:left="420" w:hanging="420" w:hangingChars="200"/>
        <w:rPr>
          <w:rFonts w:ascii="黑体" w:hAnsi="黑体" w:eastAsia="黑体"/>
        </w:rPr>
      </w:pPr>
    </w:p>
    <w:p>
      <w:pPr>
        <w:pStyle w:val="106"/>
        <w:keepNext w:val="0"/>
        <w:keepLines w:val="0"/>
        <w:pageBreakBefore w:val="0"/>
        <w:numPr>
          <w:ilvl w:val="1"/>
          <w:numId w:val="0"/>
        </w:numPr>
        <w:kinsoku/>
        <w:wordWrap/>
        <w:overflowPunct/>
        <w:topLinePunct w:val="0"/>
        <w:bidi w:val="0"/>
        <w:spacing w:before="0" w:beforeLines="0" w:after="0" w:afterLines="0" w:line="240" w:lineRule="auto"/>
        <w:ind w:left="0" w:leftChars="0" w:right="0" w:firstLine="420" w:firstLineChars="200"/>
        <w:rPr>
          <w:rFonts w:hint="eastAsia"/>
          <w:lang w:val="en-US" w:eastAsia="zh-CN"/>
        </w:rPr>
      </w:pPr>
      <w:r>
        <w:rPr>
          <w:rFonts w:hint="eastAsia"/>
          <w:lang w:val="en-US" w:eastAsia="zh-CN"/>
        </w:rPr>
        <w:t xml:space="preserve">处方 </w:t>
      </w:r>
      <w:r>
        <w:rPr>
          <w:rFonts w:hint="default"/>
          <w:lang w:val="en-US" w:eastAsia="zh-CN"/>
        </w:rPr>
        <w:t xml:space="preserve">prescription </w:t>
      </w:r>
    </w:p>
    <w:p>
      <w:pPr>
        <w:pStyle w:val="58"/>
        <w:ind w:firstLine="420"/>
        <w:rPr>
          <w:rFonts w:hint="eastAsia"/>
          <w:lang w:val="en-US" w:eastAsia="zh-CN"/>
        </w:rPr>
      </w:pPr>
      <w:r>
        <w:rPr>
          <w:rFonts w:hint="eastAsia"/>
          <w:lang w:val="en-US" w:eastAsia="zh-CN"/>
        </w:rPr>
        <w:t>指由注册的执业医师和执业助理医师（以下简称医师）在诊疗活动中为患者开具的、由取得药学专业技术职务任职资格的药学专业技术人员（以下简称药师）审核、调配、核对，并作为患者用药凭证的 医疗文书。处方也包括医疗机构病区用药医嘱单。</w:t>
      </w:r>
    </w:p>
    <w:p>
      <w:pPr>
        <w:pStyle w:val="58"/>
        <w:ind w:firstLine="420"/>
        <w:rPr>
          <w:rFonts w:hint="eastAsia"/>
          <w:lang w:val="en-US" w:eastAsia="zh-CN"/>
        </w:rPr>
      </w:pPr>
    </w:p>
    <w:p>
      <w:pPr>
        <w:pStyle w:val="106"/>
        <w:keepNext w:val="0"/>
        <w:keepLines w:val="0"/>
        <w:pageBreakBefore w:val="0"/>
        <w:numPr>
          <w:ilvl w:val="1"/>
          <w:numId w:val="0"/>
        </w:numPr>
        <w:kinsoku/>
        <w:wordWrap/>
        <w:overflowPunct/>
        <w:topLinePunct w:val="0"/>
        <w:bidi w:val="0"/>
        <w:spacing w:before="0" w:beforeLines="0" w:after="0" w:afterLines="0" w:line="240" w:lineRule="auto"/>
        <w:ind w:left="420" w:right="0" w:hanging="420" w:hangingChars="200"/>
        <w:rPr>
          <w:rFonts w:hint="eastAsia"/>
          <w:lang w:val="en-US" w:eastAsia="zh-CN"/>
        </w:rPr>
      </w:pPr>
      <w:r>
        <w:rPr>
          <w:rFonts w:hint="eastAsia" w:hAnsi="黑体"/>
          <w:lang w:val="en-US" w:eastAsia="zh-CN"/>
        </w:rPr>
        <w:t>3.3</w:t>
      </w:r>
      <w:r>
        <w:rPr>
          <w:rFonts w:ascii="黑体" w:hAnsi="黑体" w:eastAsia="黑体"/>
        </w:rPr>
        <w:br w:type="textWrapping"/>
      </w:r>
      <w:r>
        <w:rPr>
          <w:rFonts w:hint="eastAsia"/>
          <w:lang w:val="en-US" w:eastAsia="zh-CN"/>
        </w:rPr>
        <w:t xml:space="preserve">处方审核 </w:t>
      </w:r>
      <w:r>
        <w:rPr>
          <w:rFonts w:hint="default"/>
          <w:lang w:val="en-US" w:eastAsia="zh-CN"/>
        </w:rPr>
        <w:t xml:space="preserve">prescription audit </w:t>
      </w:r>
    </w:p>
    <w:p>
      <w:pPr>
        <w:pStyle w:val="58"/>
        <w:keepNext w:val="0"/>
        <w:keepLines w:val="0"/>
        <w:pageBreakBefore w:val="0"/>
        <w:kinsoku/>
        <w:wordWrap/>
        <w:overflowPunct/>
        <w:topLinePunct w:val="0"/>
        <w:bidi w:val="0"/>
        <w:spacing w:line="240" w:lineRule="auto"/>
        <w:ind w:left="0" w:leftChars="0" w:right="0" w:firstLine="420" w:firstLineChars="200"/>
        <w:rPr>
          <w:rFonts w:hint="eastAsia"/>
          <w:lang w:val="en-US" w:eastAsia="zh-CN"/>
        </w:rPr>
      </w:pPr>
      <w:r>
        <w:rPr>
          <w:rFonts w:hint="eastAsia"/>
          <w:lang w:val="en-US" w:eastAsia="zh-CN"/>
        </w:rPr>
        <w:t>药学专业技术人员运用专业知识和实践技能，根据相关法律法规、规章制度和技术规范等，对医师 在诊疗活动中为患者开具的处方，进行合法性、规范性和适宜性审核，并作出是否同意调配发药决定的药学技术服务。</w:t>
      </w:r>
    </w:p>
    <w:p>
      <w:pPr>
        <w:pStyle w:val="58"/>
        <w:ind w:firstLine="420"/>
      </w:pPr>
    </w:p>
    <w:p>
      <w:pPr>
        <w:pStyle w:val="106"/>
        <w:keepNext w:val="0"/>
        <w:keepLines w:val="0"/>
        <w:pageBreakBefore w:val="0"/>
        <w:numPr>
          <w:ilvl w:val="1"/>
          <w:numId w:val="0"/>
        </w:numPr>
        <w:kinsoku/>
        <w:wordWrap/>
        <w:overflowPunct/>
        <w:topLinePunct w:val="0"/>
        <w:bidi w:val="0"/>
        <w:spacing w:before="0" w:beforeLines="0" w:after="0" w:afterLines="0" w:line="240" w:lineRule="auto"/>
        <w:ind w:right="0"/>
        <w:rPr>
          <w:rFonts w:hint="eastAsia"/>
          <w:lang w:val="en-US" w:eastAsia="zh-CN"/>
        </w:rPr>
      </w:pPr>
      <w:r>
        <w:rPr>
          <w:rFonts w:hint="eastAsia"/>
          <w:lang w:val="en-US" w:eastAsia="zh-CN"/>
        </w:rPr>
        <w:t>3.4</w:t>
      </w:r>
    </w:p>
    <w:p>
      <w:pPr>
        <w:pStyle w:val="106"/>
        <w:keepNext w:val="0"/>
        <w:keepLines w:val="0"/>
        <w:pageBreakBefore w:val="0"/>
        <w:numPr>
          <w:ilvl w:val="1"/>
          <w:numId w:val="0"/>
        </w:numPr>
        <w:kinsoku/>
        <w:wordWrap/>
        <w:overflowPunct/>
        <w:topLinePunct w:val="0"/>
        <w:bidi w:val="0"/>
        <w:spacing w:before="0" w:beforeLines="0" w:after="0" w:afterLines="0" w:line="240" w:lineRule="auto"/>
        <w:ind w:right="0" w:firstLine="420" w:firstLineChars="200"/>
        <w:rPr>
          <w:rFonts w:hint="default"/>
          <w:lang w:val="en-US" w:eastAsia="zh-CN"/>
        </w:rPr>
      </w:pPr>
      <w:r>
        <w:rPr>
          <w:rFonts w:hint="eastAsia"/>
          <w:lang w:val="en-US" w:eastAsia="zh-CN"/>
        </w:rPr>
        <w:t xml:space="preserve">计算机辅助人工处方审核 </w:t>
      </w:r>
      <w:r>
        <w:rPr>
          <w:rFonts w:hint="default"/>
          <w:lang w:val="en-US" w:eastAsia="zh-CN"/>
        </w:rPr>
        <w:t xml:space="preserve">computer aided prescription audit </w:t>
      </w:r>
    </w:p>
    <w:p>
      <w:pPr>
        <w:pStyle w:val="58"/>
        <w:keepNext w:val="0"/>
        <w:keepLines w:val="0"/>
        <w:pageBreakBefore w:val="0"/>
        <w:kinsoku/>
        <w:wordWrap/>
        <w:overflowPunct/>
        <w:topLinePunct w:val="0"/>
        <w:bidi w:val="0"/>
        <w:spacing w:line="240" w:lineRule="auto"/>
        <w:ind w:left="0" w:leftChars="0" w:right="0" w:firstLine="420" w:firstLineChars="200"/>
        <w:rPr>
          <w:rFonts w:hint="eastAsia"/>
          <w:lang w:val="en-US" w:eastAsia="zh-CN"/>
        </w:rPr>
      </w:pPr>
      <w:r>
        <w:rPr>
          <w:rFonts w:hint="eastAsia"/>
          <w:lang w:val="en-US" w:eastAsia="zh-CN"/>
        </w:rPr>
        <w:t xml:space="preserve">依据《医疗机构处方审核规范》，通过处方审核软件系统（以下简称处方审核系统）辅助药师开展处方审核。对处方审核软件筛选出的质疑处方，由药师进行人工审核。 </w:t>
      </w:r>
    </w:p>
    <w:p>
      <w:pPr>
        <w:pStyle w:val="58"/>
        <w:ind w:firstLine="420"/>
      </w:pPr>
    </w:p>
    <w:p>
      <w:pPr>
        <w:pStyle w:val="106"/>
        <w:spacing w:before="312" w:after="312"/>
      </w:pPr>
      <w:r>
        <w:rPr>
          <w:rFonts w:hint="eastAsia"/>
          <w:lang w:val="en-US" w:eastAsia="zh-CN"/>
        </w:rPr>
        <w:t>基本要求</w:t>
      </w:r>
    </w:p>
    <w:p>
      <w:pPr>
        <w:pStyle w:val="67"/>
        <w:numPr>
          <w:ilvl w:val="3"/>
          <w:numId w:val="0"/>
        </w:numPr>
        <w:spacing w:before="156" w:after="156"/>
        <w:ind w:leftChars="0"/>
        <w:rPr>
          <w:rFonts w:hint="eastAsia" w:hAnsi="Times New Roman" w:cs="Times New Roman"/>
          <w:lang w:val="en-US" w:eastAsia="zh-CN"/>
        </w:rPr>
      </w:pPr>
      <w:bookmarkStart w:id="65" w:name="_Toc164344005"/>
      <w:bookmarkStart w:id="66" w:name="_Toc164326075"/>
      <w:bookmarkStart w:id="67" w:name="_Toc164326234"/>
      <w:bookmarkStart w:id="68" w:name="_Toc164325765"/>
      <w:bookmarkStart w:id="69" w:name="_Toc164347967"/>
      <w:bookmarkStart w:id="70" w:name="_Toc164326044"/>
      <w:bookmarkStart w:id="71" w:name="_Toc164353762"/>
      <w:bookmarkStart w:id="72" w:name="_Toc164330362"/>
      <w:bookmarkStart w:id="73" w:name="_Toc164325723"/>
      <w:bookmarkStart w:id="74" w:name="_Toc164326287"/>
      <w:bookmarkStart w:id="75" w:name="_Toc164354044"/>
      <w:r>
        <w:rPr>
          <w:rFonts w:hint="eastAsia" w:hAnsi="Times New Roman" w:cs="Times New Roman"/>
          <w:lang w:val="en-US" w:eastAsia="zh-CN"/>
        </w:rPr>
        <w:t>4.1</w:t>
      </w:r>
      <w:bookmarkEnd w:id="65"/>
      <w:bookmarkEnd w:id="66"/>
      <w:bookmarkEnd w:id="67"/>
      <w:bookmarkEnd w:id="68"/>
      <w:bookmarkEnd w:id="69"/>
      <w:bookmarkEnd w:id="70"/>
      <w:bookmarkEnd w:id="71"/>
      <w:bookmarkEnd w:id="72"/>
      <w:bookmarkEnd w:id="73"/>
      <w:bookmarkEnd w:id="74"/>
      <w:bookmarkEnd w:id="75"/>
      <w:r>
        <w:rPr>
          <w:rFonts w:hint="eastAsia" w:hAnsi="Times New Roman" w:cs="Times New Roman"/>
          <w:lang w:val="en-US" w:eastAsia="zh-CN"/>
        </w:rPr>
        <w:t>功能定位</w:t>
      </w:r>
    </w:p>
    <w:p>
      <w:pPr>
        <w:pStyle w:val="58"/>
        <w:keepNext w:val="0"/>
        <w:keepLines w:val="0"/>
        <w:pageBreakBefore w:val="0"/>
        <w:kinsoku/>
        <w:wordWrap/>
        <w:overflowPunct/>
        <w:topLinePunct w:val="0"/>
        <w:bidi w:val="0"/>
        <w:spacing w:line="240" w:lineRule="auto"/>
        <w:ind w:left="0" w:leftChars="0" w:right="0" w:firstLine="420" w:firstLineChars="200"/>
        <w:rPr>
          <w:rFonts w:hint="eastAsia"/>
          <w:lang w:val="en-US" w:eastAsia="zh-CN"/>
        </w:rPr>
      </w:pPr>
      <w:r>
        <w:rPr>
          <w:rFonts w:hint="eastAsia"/>
          <w:lang w:val="en-US" w:eastAsia="zh-CN"/>
        </w:rPr>
        <w:t>成立县级（区域）集中审方中心，加快药学服务向基层下沉，使各种医疗优质资源互通共享，药事管理协同发展，医疗资源和药师价值利用实现最大化，提高医共体内医疗机构的合理用药水平，实现县域医共体处方审核、药学服务、药品信息的规范化、标准化、同质化，促进新时期药学服务高质量发展。通过规范处方审核行为，一方面提高处方审核的质量和效率，促进临床合理用药；另一方面体现药师专业技术价值，转变药学服务模式，为患者提供更加优质、人性化的药学技术服务，使得县级（区域）集中审方中心建设规范成为最具有可落地、可操作、可执行的规范。</w:t>
      </w:r>
    </w:p>
    <w:p>
      <w:pPr>
        <w:pStyle w:val="67"/>
        <w:numPr>
          <w:ilvl w:val="3"/>
          <w:numId w:val="0"/>
        </w:numPr>
        <w:spacing w:before="156" w:after="156"/>
        <w:ind w:leftChars="0"/>
        <w:rPr>
          <w:rFonts w:hint="eastAsia" w:hAnsi="Times New Roman" w:cs="Times New Roman"/>
          <w:lang w:val="en-US" w:eastAsia="zh-CN"/>
        </w:rPr>
      </w:pPr>
      <w:r>
        <w:rPr>
          <w:rFonts w:hint="eastAsia" w:hAnsi="Times New Roman" w:cs="Times New Roman"/>
          <w:lang w:val="en-US" w:eastAsia="zh-CN"/>
        </w:rPr>
        <w:t>4.2功能布局</w:t>
      </w:r>
    </w:p>
    <w:p>
      <w:pPr>
        <w:pStyle w:val="232"/>
        <w:keepNext w:val="0"/>
        <w:keepLines w:val="0"/>
        <w:pageBreakBefore w:val="0"/>
        <w:kinsoku/>
        <w:wordWrap/>
        <w:overflowPunct/>
        <w:topLinePunct w:val="0"/>
        <w:bidi w:val="0"/>
        <w:spacing w:line="240" w:lineRule="auto"/>
        <w:ind w:left="0" w:right="0" w:firstLine="420" w:firstLineChars="200"/>
        <w:rPr>
          <w:rFonts w:hint="eastAsia" w:hAnsi="Times New Roman" w:cs="Times New Roman"/>
          <w:lang w:val="en-US" w:eastAsia="zh-CN"/>
        </w:rPr>
      </w:pPr>
      <w:r>
        <w:rPr>
          <w:rFonts w:hint="eastAsia"/>
          <w:lang w:val="en-US" w:eastAsia="zh-CN"/>
        </w:rPr>
        <w:t>县级（区域）集中审方</w:t>
      </w:r>
      <w:r>
        <w:rPr>
          <w:rFonts w:hint="eastAsia"/>
        </w:rPr>
        <w:t>中心总面积在</w:t>
      </w:r>
      <w:r>
        <w:rPr>
          <w:rFonts w:hint="eastAsia"/>
          <w:lang w:val="en-US" w:eastAsia="zh-CN"/>
        </w:rPr>
        <w:t>6</w:t>
      </w:r>
      <w:r>
        <w:rPr>
          <w:rFonts w:hint="eastAsia"/>
        </w:rPr>
        <w:t>0m²以上</w:t>
      </w:r>
      <w:r>
        <w:rPr>
          <w:rFonts w:hint="eastAsia"/>
          <w:lang w:eastAsia="zh-CN"/>
        </w:rPr>
        <w:t>，</w:t>
      </w:r>
      <w:r>
        <w:rPr>
          <w:rFonts w:hint="eastAsia"/>
        </w:rPr>
        <w:t>设计及布局合理，确保集中办公、集中审核、集中点评、集中反馈。</w:t>
      </w:r>
      <w:bookmarkStart w:id="76" w:name="_Toc164325767"/>
      <w:bookmarkStart w:id="77" w:name="_Toc164326077"/>
      <w:bookmarkStart w:id="78" w:name="_Toc164325725"/>
      <w:bookmarkStart w:id="79" w:name="_Toc164347969"/>
      <w:bookmarkStart w:id="80" w:name="_Toc164326046"/>
      <w:bookmarkStart w:id="81" w:name="_Toc164326236"/>
      <w:bookmarkStart w:id="82" w:name="_Toc164354046"/>
      <w:bookmarkStart w:id="83" w:name="_Toc164353764"/>
      <w:bookmarkStart w:id="84" w:name="_Toc164344007"/>
      <w:bookmarkStart w:id="85" w:name="_Toc164326289"/>
      <w:bookmarkStart w:id="86" w:name="_Toc164330364"/>
    </w:p>
    <w:p>
      <w:pPr>
        <w:pStyle w:val="67"/>
        <w:numPr>
          <w:ilvl w:val="3"/>
          <w:numId w:val="0"/>
        </w:numPr>
        <w:spacing w:before="156" w:after="156"/>
        <w:ind w:leftChars="0"/>
        <w:rPr>
          <w:rFonts w:hint="eastAsia" w:hAnsi="Times New Roman" w:cs="Times New Roman"/>
          <w:lang w:val="en-US" w:eastAsia="zh-CN"/>
        </w:rPr>
      </w:pPr>
      <w:r>
        <w:rPr>
          <w:rFonts w:hint="eastAsia" w:hAnsi="Times New Roman" w:cs="Times New Roman"/>
          <w:lang w:val="en-US" w:eastAsia="zh-CN"/>
        </w:rPr>
        <w:t>4.3人力资源配置</w:t>
      </w:r>
      <w:bookmarkEnd w:id="76"/>
      <w:bookmarkEnd w:id="77"/>
      <w:bookmarkEnd w:id="78"/>
      <w:bookmarkEnd w:id="79"/>
      <w:bookmarkEnd w:id="80"/>
      <w:bookmarkEnd w:id="81"/>
      <w:bookmarkEnd w:id="82"/>
      <w:bookmarkEnd w:id="83"/>
      <w:bookmarkEnd w:id="84"/>
      <w:bookmarkEnd w:id="85"/>
      <w:bookmarkEnd w:id="86"/>
    </w:p>
    <w:p>
      <w:pPr>
        <w:pStyle w:val="58"/>
        <w:keepNext w:val="0"/>
        <w:keepLines w:val="0"/>
        <w:pageBreakBefore w:val="0"/>
        <w:kinsoku/>
        <w:wordWrap/>
        <w:overflowPunct/>
        <w:topLinePunct w:val="0"/>
        <w:bidi w:val="0"/>
        <w:spacing w:line="240" w:lineRule="auto"/>
        <w:ind w:left="0" w:leftChars="0" w:right="0" w:firstLine="420" w:firstLineChars="200"/>
        <w:rPr>
          <w:rFonts w:hint="eastAsia"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人员配备应与所需服务的机构数、高峰时间段、所需审核的处方/医嘱量等工作任务相适应，以确保完成处方/医嘱前置审核工作为原则。可按照人工审核每300张（住院医嘱1组=1张）处方/日配备1名专职审方药师，负责日常处方审核、点评、反馈和培训等相关工作。</w:t>
      </w:r>
    </w:p>
    <w:p>
      <w:pPr>
        <w:pStyle w:val="67"/>
        <w:numPr>
          <w:ilvl w:val="3"/>
          <w:numId w:val="0"/>
        </w:numPr>
        <w:spacing w:before="156" w:after="156"/>
        <w:ind w:leftChars="0"/>
        <w:rPr>
          <w:rFonts w:hint="eastAsia" w:hAnsi="Times New Roman" w:cs="Times New Roman"/>
          <w:lang w:val="en-US" w:eastAsia="zh-CN"/>
        </w:rPr>
      </w:pPr>
      <w:bookmarkStart w:id="87" w:name="_Toc164325728"/>
      <w:r>
        <w:rPr>
          <w:rFonts w:hint="eastAsia" w:hAnsi="Times New Roman" w:cs="Times New Roman"/>
          <w:lang w:val="en-US" w:eastAsia="zh-CN"/>
        </w:rPr>
        <w:t xml:space="preserve">4.3.1中心负责人 </w:t>
      </w:r>
    </w:p>
    <w:p>
      <w:pPr>
        <w:pStyle w:val="58"/>
        <w:keepNext w:val="0"/>
        <w:keepLines w:val="0"/>
        <w:pageBreakBefore w:val="0"/>
        <w:kinsoku/>
        <w:wordWrap/>
        <w:overflowPunct/>
        <w:topLinePunct w:val="0"/>
        <w:bidi w:val="0"/>
        <w:spacing w:line="240" w:lineRule="auto"/>
        <w:ind w:left="0" w:right="0" w:firstLine="420" w:firstLineChars="200"/>
        <w:rPr>
          <w:rFonts w:ascii="宋体" w:hAnsi="宋体" w:eastAsia="宋体"/>
        </w:rPr>
      </w:pPr>
      <w:r>
        <w:rPr>
          <w:rFonts w:hint="eastAsia" w:ascii="宋体" w:hAnsi="Times New Roman" w:eastAsia="宋体" w:cs="Times New Roman"/>
          <w:kern w:val="0"/>
          <w:sz w:val="21"/>
          <w:szCs w:val="20"/>
          <w:lang w:val="en-US" w:eastAsia="zh-CN" w:bidi="ar-SA"/>
        </w:rPr>
        <w:t>原则上应由副主任药师（含副主任中药师）及以上技术职务任职资格、具有较强组织协调管理</w:t>
      </w:r>
      <w:r>
        <w:rPr>
          <w:rFonts w:hint="eastAsia"/>
        </w:rPr>
        <w:t>能力的药学专业技术人员担任。</w:t>
      </w:r>
    </w:p>
    <w:bookmarkEnd w:id="87"/>
    <w:p>
      <w:pPr>
        <w:pStyle w:val="67"/>
        <w:numPr>
          <w:ilvl w:val="3"/>
          <w:numId w:val="0"/>
        </w:numPr>
        <w:spacing w:before="156" w:after="156"/>
        <w:ind w:leftChars="0"/>
        <w:rPr>
          <w:rFonts w:hint="eastAsia" w:hAnsi="Times New Roman" w:cs="Times New Roman"/>
          <w:lang w:val="en-US" w:eastAsia="zh-CN"/>
        </w:rPr>
      </w:pPr>
      <w:bookmarkStart w:id="88" w:name="_Toc164325729"/>
      <w:bookmarkStart w:id="89" w:name="_Toc164344008"/>
      <w:bookmarkStart w:id="90" w:name="_Toc164330365"/>
      <w:bookmarkStart w:id="91" w:name="_Toc164325768"/>
      <w:bookmarkStart w:id="92" w:name="_Toc164347970"/>
      <w:bookmarkStart w:id="93" w:name="_Toc164326237"/>
      <w:bookmarkStart w:id="94" w:name="_Toc164326290"/>
      <w:bookmarkStart w:id="95" w:name="_Toc164354047"/>
      <w:bookmarkStart w:id="96" w:name="_Toc164326047"/>
      <w:bookmarkStart w:id="97" w:name="_Toc164353765"/>
      <w:bookmarkStart w:id="98" w:name="_Toc164326078"/>
      <w:r>
        <w:rPr>
          <w:rFonts w:hint="eastAsia" w:hAnsi="Times New Roman" w:cs="Times New Roman"/>
          <w:lang w:val="en-US" w:eastAsia="zh-CN"/>
        </w:rPr>
        <w:t>4.3.2审方药师</w:t>
      </w:r>
    </w:p>
    <w:p>
      <w:pPr>
        <w:pStyle w:val="67"/>
        <w:numPr>
          <w:ilvl w:val="3"/>
          <w:numId w:val="0"/>
        </w:numPr>
        <w:spacing w:before="156" w:after="156"/>
        <w:ind w:leftChars="0"/>
        <w:rPr>
          <w:rFonts w:hint="eastAsia" w:hAnsi="Times New Roman" w:cs="Times New Roman"/>
          <w:lang w:val="en-US" w:eastAsia="zh-CN"/>
        </w:rPr>
      </w:pPr>
      <w:r>
        <w:rPr>
          <w:rFonts w:hint="eastAsia" w:hAnsi="Times New Roman" w:cs="Times New Roman"/>
          <w:lang w:val="en-US" w:eastAsia="zh-CN"/>
        </w:rPr>
        <w:t>4.3.2</w:t>
      </w:r>
      <w:r>
        <w:rPr>
          <w:rFonts w:hint="default" w:hAnsi="Times New Roman" w:cs="Times New Roman"/>
          <w:lang w:val="en-US" w:eastAsia="zh-CN"/>
        </w:rPr>
        <w:t xml:space="preserve">.1 </w:t>
      </w:r>
      <w:r>
        <w:rPr>
          <w:rFonts w:hint="eastAsia" w:hAnsi="Times New Roman" w:cs="Times New Roman"/>
          <w:lang w:val="en-US" w:eastAsia="zh-CN"/>
        </w:rPr>
        <w:t xml:space="preserve">从事处方审核的药师，应满足如下要求： </w:t>
      </w:r>
    </w:p>
    <w:p>
      <w:pPr>
        <w:pStyle w:val="58"/>
        <w:keepNext w:val="0"/>
        <w:keepLines w:val="0"/>
        <w:pageBreakBefore w:val="0"/>
        <w:kinsoku/>
        <w:wordWrap/>
        <w:overflowPunct/>
        <w:topLinePunct w:val="0"/>
        <w:bidi w:val="0"/>
        <w:spacing w:line="240" w:lineRule="auto"/>
        <w:ind w:left="0" w:leftChars="0" w:right="0" w:firstLine="420" w:firstLineChars="200"/>
        <w:rPr>
          <w:rFonts w:hint="eastAsia" w:ascii="宋体" w:hAnsi="Times New Roman" w:eastAsia="宋体" w:cs="Times New Roman"/>
        </w:rPr>
      </w:pPr>
      <w:r>
        <w:rPr>
          <w:rFonts w:hint="default" w:ascii="宋体" w:hAnsi="Times New Roman" w:eastAsia="宋体" w:cs="Times New Roman"/>
          <w:lang w:val="en-US" w:eastAsia="zh-CN"/>
        </w:rPr>
        <w:t xml:space="preserve">a) </w:t>
      </w:r>
      <w:r>
        <w:rPr>
          <w:rFonts w:hint="eastAsia" w:ascii="宋体" w:hAnsi="Times New Roman" w:eastAsia="宋体" w:cs="Times New Roman"/>
          <w:lang w:val="en-US" w:eastAsia="zh-CN"/>
        </w:rPr>
        <w:t xml:space="preserve">取得药师及以上药学专业技术职务任职资格； </w:t>
      </w:r>
    </w:p>
    <w:p>
      <w:pPr>
        <w:pStyle w:val="58"/>
        <w:keepNext w:val="0"/>
        <w:keepLines w:val="0"/>
        <w:pageBreakBefore w:val="0"/>
        <w:kinsoku/>
        <w:wordWrap/>
        <w:overflowPunct/>
        <w:topLinePunct w:val="0"/>
        <w:bidi w:val="0"/>
        <w:spacing w:line="240" w:lineRule="auto"/>
        <w:ind w:left="0" w:leftChars="0" w:right="0" w:firstLine="420" w:firstLineChars="200"/>
        <w:rPr>
          <w:rFonts w:hint="eastAsia" w:ascii="宋体" w:hAnsi="Times New Roman" w:eastAsia="宋体" w:cs="Times New Roman"/>
        </w:rPr>
      </w:pPr>
      <w:r>
        <w:rPr>
          <w:rFonts w:hint="default" w:ascii="宋体" w:hAnsi="Times New Roman" w:eastAsia="宋体" w:cs="Times New Roman"/>
          <w:lang w:val="en-US" w:eastAsia="zh-CN"/>
        </w:rPr>
        <w:t xml:space="preserve">b) </w:t>
      </w:r>
      <w:r>
        <w:rPr>
          <w:rFonts w:hint="eastAsia" w:ascii="宋体" w:hAnsi="Times New Roman" w:eastAsia="宋体" w:cs="Times New Roman"/>
          <w:lang w:val="en-US" w:eastAsia="zh-CN"/>
        </w:rPr>
        <w:t>具有</w:t>
      </w:r>
      <w:r>
        <w:rPr>
          <w:rFonts w:hint="default" w:ascii="宋体" w:hAnsi="Times New Roman" w:eastAsia="宋体" w:cs="Times New Roman"/>
          <w:lang w:val="en-US" w:eastAsia="zh-CN"/>
        </w:rPr>
        <w:t>3</w:t>
      </w:r>
      <w:r>
        <w:rPr>
          <w:rFonts w:hint="eastAsia" w:ascii="宋体" w:hAnsi="Times New Roman" w:eastAsia="宋体" w:cs="Times New Roman"/>
          <w:lang w:val="en-US" w:eastAsia="zh-CN"/>
        </w:rPr>
        <w:t>年及以上门急诊、病区处方</w:t>
      </w:r>
      <w:r>
        <w:rPr>
          <w:rFonts w:hint="eastAsia" w:cs="Times New Roman"/>
          <w:lang w:val="en-US" w:eastAsia="zh-CN"/>
        </w:rPr>
        <w:t>/医嘱</w:t>
      </w:r>
      <w:r>
        <w:rPr>
          <w:rFonts w:hint="eastAsia" w:ascii="宋体" w:hAnsi="Times New Roman" w:eastAsia="宋体" w:cs="Times New Roman"/>
          <w:lang w:val="en-US" w:eastAsia="zh-CN"/>
        </w:rPr>
        <w:t xml:space="preserve">调剂工作经验或临床药学工作经验，接受过处方审核相应岗位的专业知识培训并考核合格。 </w:t>
      </w:r>
    </w:p>
    <w:p>
      <w:pPr>
        <w:pStyle w:val="58"/>
        <w:keepNext w:val="0"/>
        <w:keepLines w:val="0"/>
        <w:pageBreakBefore w:val="0"/>
        <w:kinsoku/>
        <w:wordWrap/>
        <w:overflowPunct/>
        <w:topLinePunct w:val="0"/>
        <w:bidi w:val="0"/>
        <w:spacing w:line="240" w:lineRule="auto"/>
        <w:ind w:left="0" w:leftChars="0" w:right="0" w:firstLine="420" w:firstLineChars="200"/>
        <w:rPr>
          <w:rFonts w:hint="eastAsia" w:ascii="宋体" w:hAnsi="Times New Roman" w:eastAsia="宋体" w:cs="Times New Roman"/>
        </w:rPr>
      </w:pPr>
      <w:r>
        <w:rPr>
          <w:rFonts w:hint="default" w:ascii="宋体" w:hAnsi="Times New Roman" w:eastAsia="宋体" w:cs="Times New Roman"/>
          <w:lang w:val="en-US" w:eastAsia="zh-CN"/>
        </w:rPr>
        <w:t>c</w:t>
      </w:r>
      <w:r>
        <w:rPr>
          <w:rFonts w:hint="eastAsia" w:ascii="宋体" w:hAnsi="Times New Roman" w:eastAsia="宋体" w:cs="Times New Roman"/>
          <w:lang w:val="en-US" w:eastAsia="zh-CN"/>
        </w:rPr>
        <w:t xml:space="preserve">）负责麻醉药品、精神药品、抗菌药物、抗肿瘤药物处方审核的药师还应当接受相关培训并考核合格。 </w:t>
      </w:r>
    </w:p>
    <w:p>
      <w:pPr>
        <w:pStyle w:val="67"/>
        <w:numPr>
          <w:ilvl w:val="3"/>
          <w:numId w:val="0"/>
        </w:numPr>
        <w:spacing w:before="156" w:after="156"/>
        <w:ind w:leftChars="0"/>
        <w:rPr>
          <w:rFonts w:hint="eastAsia" w:hAnsi="Times New Roman" w:cs="Times New Roman"/>
          <w:lang w:val="en-US" w:eastAsia="zh-CN"/>
        </w:rPr>
      </w:pPr>
      <w:r>
        <w:rPr>
          <w:rFonts w:hint="eastAsia" w:hAnsi="Times New Roman" w:cs="Times New Roman"/>
          <w:lang w:val="en-US" w:eastAsia="zh-CN"/>
        </w:rPr>
        <w:t>4.3.2</w:t>
      </w:r>
      <w:r>
        <w:rPr>
          <w:rFonts w:hint="default" w:hAnsi="Times New Roman" w:cs="Times New Roman"/>
          <w:lang w:val="en-US" w:eastAsia="zh-CN"/>
        </w:rPr>
        <w:t xml:space="preserve">.2 </w:t>
      </w:r>
      <w:r>
        <w:rPr>
          <w:rFonts w:hint="eastAsia" w:hAnsi="Times New Roman" w:cs="Times New Roman"/>
          <w:lang w:val="en-US" w:eastAsia="zh-CN"/>
        </w:rPr>
        <w:t xml:space="preserve">从事处方审核系统规则制定和维护的药师，应满足以下要求： </w:t>
      </w:r>
    </w:p>
    <w:p>
      <w:pPr>
        <w:pStyle w:val="58"/>
        <w:keepNext w:val="0"/>
        <w:keepLines w:val="0"/>
        <w:pageBreakBefore w:val="0"/>
        <w:kinsoku/>
        <w:wordWrap/>
        <w:overflowPunct/>
        <w:topLinePunct w:val="0"/>
        <w:bidi w:val="0"/>
        <w:spacing w:line="240" w:lineRule="auto"/>
        <w:ind w:left="0" w:leftChars="0" w:right="0" w:firstLine="420" w:firstLineChars="200"/>
        <w:rPr>
          <w:rFonts w:hint="eastAsia" w:ascii="宋体" w:hAnsi="Times New Roman" w:eastAsia="宋体" w:cs="Times New Roman"/>
          <w:lang w:val="en-US" w:eastAsia="zh-CN"/>
        </w:rPr>
      </w:pPr>
      <w:r>
        <w:rPr>
          <w:rFonts w:hint="default" w:ascii="宋体" w:hAnsi="Times New Roman" w:eastAsia="宋体" w:cs="Times New Roman"/>
          <w:lang w:val="en-US" w:eastAsia="zh-CN"/>
        </w:rPr>
        <w:t xml:space="preserve">a) </w:t>
      </w:r>
      <w:r>
        <w:rPr>
          <w:rFonts w:hint="eastAsia" w:ascii="宋体" w:hAnsi="Times New Roman" w:eastAsia="宋体" w:cs="Times New Roman"/>
          <w:lang w:val="en-US" w:eastAsia="zh-CN"/>
        </w:rPr>
        <w:t>取得中级及以上药学专业技术职务任职资格；</w:t>
      </w:r>
    </w:p>
    <w:p>
      <w:pPr>
        <w:pStyle w:val="58"/>
        <w:keepNext w:val="0"/>
        <w:keepLines w:val="0"/>
        <w:pageBreakBefore w:val="0"/>
        <w:kinsoku/>
        <w:wordWrap/>
        <w:overflowPunct/>
        <w:topLinePunct w:val="0"/>
        <w:bidi w:val="0"/>
        <w:spacing w:line="240" w:lineRule="auto"/>
        <w:ind w:left="0" w:leftChars="0" w:right="0" w:firstLine="420" w:firstLineChars="200"/>
        <w:rPr>
          <w:rFonts w:hint="eastAsia" w:ascii="宋体" w:hAnsi="Times New Roman" w:eastAsia="宋体" w:cs="Times New Roman"/>
          <w:lang w:val="en-US" w:eastAsia="zh-CN"/>
        </w:rPr>
      </w:pPr>
      <w:r>
        <w:rPr>
          <w:rFonts w:hint="default" w:ascii="宋体" w:hAnsi="Times New Roman" w:eastAsia="宋体" w:cs="Times New Roman"/>
          <w:lang w:val="en-US" w:eastAsia="zh-CN"/>
        </w:rPr>
        <w:t xml:space="preserve">b) </w:t>
      </w:r>
      <w:r>
        <w:rPr>
          <w:rFonts w:hint="eastAsia" w:ascii="宋体" w:hAnsi="Times New Roman" w:eastAsia="宋体" w:cs="Times New Roman"/>
          <w:lang w:val="en-US" w:eastAsia="zh-CN"/>
        </w:rPr>
        <w:t>具有</w:t>
      </w:r>
      <w:r>
        <w:rPr>
          <w:rFonts w:hint="default" w:ascii="宋体" w:hAnsi="Times New Roman" w:eastAsia="宋体" w:cs="Times New Roman"/>
          <w:lang w:val="en-US" w:eastAsia="zh-CN"/>
        </w:rPr>
        <w:t>3</w:t>
      </w:r>
      <w:r>
        <w:rPr>
          <w:rFonts w:hint="eastAsia" w:ascii="宋体" w:hAnsi="Times New Roman" w:eastAsia="宋体" w:cs="Times New Roman"/>
          <w:lang w:val="en-US" w:eastAsia="zh-CN"/>
        </w:rPr>
        <w:t xml:space="preserve">年及以上门急诊、病区处方调剂工作经验或临床药学工作经验，接受过处方审核相应岗位的专业知识培训并考核合格。 </w:t>
      </w:r>
    </w:p>
    <w:p>
      <w:pPr>
        <w:pStyle w:val="67"/>
        <w:numPr>
          <w:ilvl w:val="3"/>
          <w:numId w:val="0"/>
        </w:numPr>
        <w:spacing w:before="156" w:after="156"/>
        <w:ind w:leftChars="0"/>
        <w:rPr>
          <w:rFonts w:hint="eastAsia" w:hAnsi="Times New Roman" w:cs="Times New Roman"/>
          <w:lang w:val="en-US" w:eastAsia="zh-CN"/>
        </w:rPr>
      </w:pPr>
      <w:r>
        <w:rPr>
          <w:rFonts w:hint="eastAsia" w:hAnsi="Times New Roman" w:cs="Times New Roman"/>
          <w:lang w:val="en-US" w:eastAsia="zh-CN"/>
        </w:rPr>
        <w:t>4.3.2.3</w:t>
      </w:r>
      <w:r>
        <w:rPr>
          <w:rFonts w:hint="default" w:hAnsi="Times New Roman" w:cs="Times New Roman"/>
          <w:lang w:val="en-US" w:eastAsia="zh-CN"/>
        </w:rPr>
        <w:t xml:space="preserve"> </w:t>
      </w:r>
      <w:r>
        <w:rPr>
          <w:rFonts w:hint="eastAsia" w:hAnsi="Times New Roman" w:cs="Times New Roman"/>
          <w:lang w:val="en-US" w:eastAsia="zh-CN"/>
        </w:rPr>
        <w:t xml:space="preserve">能力要求 </w:t>
      </w:r>
    </w:p>
    <w:p>
      <w:pPr>
        <w:keepNext w:val="0"/>
        <w:keepLines w:val="0"/>
        <w:pageBreakBefore w:val="0"/>
        <w:widowControl/>
        <w:suppressLineNumbers w:val="0"/>
        <w:kinsoku/>
        <w:wordWrap/>
        <w:overflowPunct/>
        <w:topLinePunct w:val="0"/>
        <w:autoSpaceDE/>
        <w:autoSpaceDN/>
        <w:bidi w:val="0"/>
        <w:adjustRightInd/>
        <w:snapToGrid/>
        <w:spacing w:line="240" w:lineRule="auto"/>
        <w:ind w:left="0" w:right="0" w:firstLine="420" w:firstLineChars="200"/>
        <w:jc w:val="left"/>
        <w:textAlignment w:val="auto"/>
      </w:pPr>
      <w:r>
        <w:rPr>
          <w:rFonts w:hint="eastAsia" w:ascii="宋体" w:hAnsi="宋体" w:eastAsia="宋体" w:cs="宋体"/>
          <w:color w:val="000000"/>
          <w:kern w:val="0"/>
          <w:sz w:val="21"/>
          <w:szCs w:val="21"/>
          <w:lang w:val="en-US" w:eastAsia="zh-CN" w:bidi="ar"/>
        </w:rPr>
        <w:t xml:space="preserve">从事处方审核的药师应具备以下能力： </w:t>
      </w:r>
    </w:p>
    <w:p>
      <w:pPr>
        <w:pStyle w:val="58"/>
        <w:keepNext w:val="0"/>
        <w:keepLines w:val="0"/>
        <w:pageBreakBefore w:val="0"/>
        <w:kinsoku/>
        <w:wordWrap/>
        <w:overflowPunct/>
        <w:topLinePunct w:val="0"/>
        <w:bidi w:val="0"/>
        <w:spacing w:line="240" w:lineRule="auto"/>
        <w:ind w:left="0" w:leftChars="0" w:right="0" w:firstLine="420" w:firstLineChars="200"/>
        <w:rPr>
          <w:rFonts w:hint="default" w:ascii="宋体" w:hAnsi="Times New Roman" w:eastAsia="宋体" w:cs="Times New Roman"/>
          <w:lang w:val="en-US" w:eastAsia="zh-CN"/>
        </w:rPr>
      </w:pPr>
      <w:r>
        <w:rPr>
          <w:rFonts w:hint="default" w:ascii="宋体" w:hAnsi="Times New Roman" w:eastAsia="宋体" w:cs="Times New Roman"/>
          <w:lang w:val="en-US" w:eastAsia="zh-CN"/>
        </w:rPr>
        <w:t xml:space="preserve">a) </w:t>
      </w:r>
      <w:r>
        <w:rPr>
          <w:rFonts w:hint="eastAsia" w:ascii="宋体" w:hAnsi="Times New Roman" w:eastAsia="宋体" w:cs="Times New Roman"/>
          <w:lang w:val="en-US" w:eastAsia="zh-CN"/>
        </w:rPr>
        <w:t xml:space="preserve">熟悉《药品管理法》、《处方管理办法》、《医疗机构处方审核规范》、《医疗机构处方点评管理规范（试行）》、《医疗机构药事管理规定》等相关法律法规、政策； </w:t>
      </w:r>
    </w:p>
    <w:p>
      <w:pPr>
        <w:pStyle w:val="58"/>
        <w:keepNext w:val="0"/>
        <w:keepLines w:val="0"/>
        <w:pageBreakBefore w:val="0"/>
        <w:kinsoku/>
        <w:wordWrap/>
        <w:overflowPunct/>
        <w:topLinePunct w:val="0"/>
        <w:bidi w:val="0"/>
        <w:spacing w:line="240" w:lineRule="auto"/>
        <w:ind w:left="0" w:leftChars="0" w:right="0" w:firstLine="420" w:firstLineChars="200"/>
        <w:rPr>
          <w:rFonts w:hint="default" w:ascii="宋体" w:hAnsi="Times New Roman" w:eastAsia="宋体" w:cs="Times New Roman"/>
          <w:lang w:val="en-US" w:eastAsia="zh-CN"/>
        </w:rPr>
      </w:pPr>
      <w:r>
        <w:rPr>
          <w:rFonts w:hint="default" w:ascii="宋体" w:hAnsi="Times New Roman" w:eastAsia="宋体" w:cs="Times New Roman"/>
          <w:lang w:val="en-US" w:eastAsia="zh-CN"/>
        </w:rPr>
        <w:t xml:space="preserve">b) </w:t>
      </w:r>
      <w:r>
        <w:rPr>
          <w:rFonts w:hint="eastAsia" w:ascii="宋体" w:hAnsi="Times New Roman" w:eastAsia="宋体" w:cs="Times New Roman"/>
          <w:lang w:val="en-US" w:eastAsia="zh-CN"/>
        </w:rPr>
        <w:t xml:space="preserve">熟悉临床药物治疗学、临床药代动力学、循证医学理论、检验检查项目的临床意义； </w:t>
      </w:r>
    </w:p>
    <w:p>
      <w:pPr>
        <w:pStyle w:val="58"/>
        <w:keepNext w:val="0"/>
        <w:keepLines w:val="0"/>
        <w:pageBreakBefore w:val="0"/>
        <w:kinsoku/>
        <w:wordWrap/>
        <w:overflowPunct/>
        <w:topLinePunct w:val="0"/>
        <w:bidi w:val="0"/>
        <w:spacing w:line="240" w:lineRule="auto"/>
        <w:ind w:left="0" w:leftChars="0" w:right="0" w:firstLine="420" w:firstLineChars="200"/>
        <w:rPr>
          <w:rFonts w:hint="default" w:ascii="宋体" w:hAnsi="Times New Roman" w:eastAsia="宋体" w:cs="Times New Roman"/>
          <w:lang w:val="en-US" w:eastAsia="zh-CN"/>
        </w:rPr>
      </w:pPr>
      <w:r>
        <w:rPr>
          <w:rFonts w:hint="default" w:ascii="宋体" w:hAnsi="Times New Roman" w:eastAsia="宋体" w:cs="Times New Roman"/>
          <w:lang w:val="en-US" w:eastAsia="zh-CN"/>
        </w:rPr>
        <w:t xml:space="preserve">c) </w:t>
      </w:r>
      <w:r>
        <w:rPr>
          <w:rFonts w:hint="eastAsia" w:ascii="宋体" w:hAnsi="Times New Roman" w:eastAsia="宋体" w:cs="Times New Roman"/>
          <w:lang w:val="en-US" w:eastAsia="zh-CN"/>
        </w:rPr>
        <w:t xml:space="preserve">熟悉并能够快速检索临床诊疗指南、药物相互作用及其临床意义、药物配伍禁忌； </w:t>
      </w:r>
    </w:p>
    <w:p>
      <w:pPr>
        <w:pStyle w:val="58"/>
        <w:keepNext w:val="0"/>
        <w:keepLines w:val="0"/>
        <w:pageBreakBefore w:val="0"/>
        <w:kinsoku/>
        <w:wordWrap/>
        <w:overflowPunct/>
        <w:topLinePunct w:val="0"/>
        <w:bidi w:val="0"/>
        <w:spacing w:line="240" w:lineRule="auto"/>
        <w:ind w:left="0" w:leftChars="0" w:right="0" w:firstLine="420" w:firstLineChars="200"/>
        <w:rPr>
          <w:rFonts w:hint="default" w:ascii="宋体" w:hAnsi="Times New Roman" w:eastAsia="宋体" w:cs="Times New Roman"/>
          <w:lang w:val="en-US" w:eastAsia="zh-CN"/>
        </w:rPr>
      </w:pPr>
      <w:r>
        <w:rPr>
          <w:rFonts w:hint="default" w:ascii="宋体" w:hAnsi="Times New Roman" w:eastAsia="宋体" w:cs="Times New Roman"/>
          <w:lang w:val="en-US" w:eastAsia="zh-CN"/>
        </w:rPr>
        <w:t xml:space="preserve">d) </w:t>
      </w:r>
      <w:r>
        <w:rPr>
          <w:rFonts w:hint="eastAsia" w:ascii="宋体" w:hAnsi="Times New Roman" w:eastAsia="宋体" w:cs="Times New Roman"/>
          <w:lang w:val="en-US" w:eastAsia="zh-CN"/>
        </w:rPr>
        <w:t xml:space="preserve">熟悉处方审核工作制度、岗位职责、操作规程。 </w:t>
      </w:r>
    </w:p>
    <w:p>
      <w:pPr>
        <w:pStyle w:val="67"/>
        <w:numPr>
          <w:ilvl w:val="3"/>
          <w:numId w:val="0"/>
        </w:numPr>
        <w:spacing w:before="156" w:after="156"/>
        <w:ind w:leftChars="0"/>
        <w:rPr>
          <w:rFonts w:hint="eastAsia" w:hAnsi="Times New Roman" w:cs="Times New Roman"/>
          <w:lang w:val="en-US" w:eastAsia="zh-CN"/>
        </w:rPr>
      </w:pPr>
      <w:r>
        <w:rPr>
          <w:rFonts w:hint="eastAsia" w:hAnsi="Times New Roman" w:cs="Times New Roman"/>
          <w:lang w:val="en-US" w:eastAsia="zh-CN"/>
        </w:rPr>
        <w:t>4.4设施设备</w:t>
      </w:r>
      <w:bookmarkEnd w:id="88"/>
      <w:bookmarkEnd w:id="89"/>
      <w:bookmarkEnd w:id="90"/>
      <w:bookmarkEnd w:id="91"/>
      <w:bookmarkEnd w:id="92"/>
      <w:bookmarkEnd w:id="93"/>
      <w:bookmarkEnd w:id="94"/>
      <w:bookmarkEnd w:id="95"/>
      <w:bookmarkEnd w:id="96"/>
      <w:bookmarkEnd w:id="97"/>
      <w:bookmarkEnd w:id="98"/>
    </w:p>
    <w:p>
      <w:pPr>
        <w:pStyle w:val="67"/>
        <w:numPr>
          <w:ilvl w:val="3"/>
          <w:numId w:val="0"/>
        </w:numPr>
        <w:spacing w:before="156" w:after="156"/>
        <w:ind w:leftChars="0"/>
        <w:rPr>
          <w:rFonts w:hint="eastAsia" w:hAnsi="Times New Roman" w:cs="Times New Roman"/>
          <w:lang w:val="en-US" w:eastAsia="zh-CN"/>
        </w:rPr>
      </w:pPr>
      <w:bookmarkStart w:id="99" w:name="_Toc164325730"/>
      <w:r>
        <w:rPr>
          <w:rFonts w:hint="eastAsia" w:hAnsi="Times New Roman" w:cs="Times New Roman"/>
          <w:lang w:val="en-US" w:eastAsia="zh-CN"/>
        </w:rPr>
        <w:t>4.4.1基础办公设备</w:t>
      </w:r>
      <w:bookmarkEnd w:id="99"/>
    </w:p>
    <w:p>
      <w:pPr>
        <w:pStyle w:val="232"/>
        <w:keepNext w:val="0"/>
        <w:keepLines w:val="0"/>
        <w:pageBreakBefore w:val="0"/>
        <w:kinsoku/>
        <w:wordWrap/>
        <w:overflowPunct/>
        <w:topLinePunct w:val="0"/>
        <w:bidi w:val="0"/>
        <w:spacing w:line="240" w:lineRule="auto"/>
        <w:ind w:left="0" w:right="0" w:firstLine="420" w:firstLineChars="200"/>
        <w:rPr>
          <w:rFonts w:hint="eastAsia"/>
        </w:rPr>
      </w:pPr>
      <w:r>
        <w:rPr>
          <w:rFonts w:hint="eastAsia"/>
        </w:rPr>
        <w:t>办公设备包括电脑、基础软件、打印机、工作电话、显示大屏、服务器、系统软件、宽带网络等。</w:t>
      </w:r>
    </w:p>
    <w:p>
      <w:pPr>
        <w:pStyle w:val="67"/>
        <w:numPr>
          <w:ilvl w:val="3"/>
          <w:numId w:val="0"/>
        </w:numPr>
        <w:spacing w:before="156" w:after="156"/>
        <w:ind w:leftChars="0"/>
        <w:rPr>
          <w:rFonts w:hint="eastAsia" w:hAnsi="Times New Roman" w:cs="Times New Roman"/>
          <w:lang w:val="en-US" w:eastAsia="zh-CN"/>
        </w:rPr>
      </w:pPr>
      <w:bookmarkStart w:id="100" w:name="_Toc164325731"/>
      <w:r>
        <w:rPr>
          <w:rFonts w:hint="eastAsia" w:hAnsi="Times New Roman" w:cs="Times New Roman"/>
          <w:lang w:val="en-US" w:eastAsia="zh-CN"/>
        </w:rPr>
        <w:t>4.4.2信息化建设</w:t>
      </w:r>
      <w:bookmarkEnd w:id="100"/>
    </w:p>
    <w:p>
      <w:pPr>
        <w:pStyle w:val="67"/>
        <w:numPr>
          <w:ilvl w:val="3"/>
          <w:numId w:val="0"/>
        </w:numPr>
        <w:spacing w:before="156" w:after="156"/>
        <w:ind w:leftChars="0"/>
        <w:rPr>
          <w:rFonts w:hint="eastAsia" w:hAnsi="Times New Roman" w:cs="Times New Roman"/>
          <w:lang w:val="en-US" w:eastAsia="zh-CN"/>
        </w:rPr>
      </w:pPr>
      <w:r>
        <w:rPr>
          <w:rFonts w:hint="eastAsia" w:hAnsi="Times New Roman" w:cs="Times New Roman"/>
          <w:lang w:val="en-US" w:eastAsia="zh-CN"/>
        </w:rPr>
        <w:t xml:space="preserve">4.4.2.1处方审核系统基本功能 </w:t>
      </w:r>
    </w:p>
    <w:p>
      <w:pPr>
        <w:pStyle w:val="58"/>
        <w:ind w:firstLine="420"/>
        <w:rPr>
          <w:rFonts w:hint="eastAsia" w:ascii="宋体" w:hAnsi="Times New Roman" w:eastAsia="宋体" w:cs="Times New Roman"/>
        </w:rPr>
      </w:pPr>
      <w:r>
        <w:rPr>
          <w:rFonts w:hint="eastAsia" w:ascii="宋体" w:hAnsi="Times New Roman" w:eastAsia="宋体" w:cs="Times New Roman"/>
        </w:rPr>
        <w:t>建设时必须遵循国际、国家和行业等有关法律、法规和规章制度的要求。系统应能保障网络可靠运行，保障网络信息安全。</w:t>
      </w:r>
    </w:p>
    <w:p>
      <w:pPr>
        <w:pStyle w:val="58"/>
        <w:ind w:firstLine="420"/>
        <w:rPr>
          <w:rFonts w:hint="eastAsia" w:ascii="宋体" w:hAnsi="Times New Roman" w:eastAsia="宋体" w:cs="Times New Roman"/>
          <w:lang w:val="en-US" w:eastAsia="zh-CN"/>
        </w:rPr>
      </w:pPr>
      <w:r>
        <w:rPr>
          <w:rFonts w:hint="eastAsia" w:ascii="宋体" w:hAnsi="Times New Roman" w:eastAsia="宋体" w:cs="Times New Roman"/>
          <w:lang w:val="en-US" w:eastAsia="zh-CN"/>
        </w:rPr>
        <w:t>必需的患者临床信息是处方审核的必要条件。县级（区域）集中审方</w:t>
      </w:r>
      <w:r>
        <w:rPr>
          <w:rFonts w:hint="eastAsia" w:ascii="宋体" w:hAnsi="Times New Roman" w:eastAsia="宋体" w:cs="Times New Roman"/>
        </w:rPr>
        <w:t>中心</w:t>
      </w:r>
      <w:r>
        <w:rPr>
          <w:rFonts w:hint="eastAsia" w:ascii="宋体" w:hAnsi="Times New Roman" w:eastAsia="宋体" w:cs="Times New Roman"/>
          <w:lang w:val="en-US" w:eastAsia="zh-CN"/>
        </w:rPr>
        <w:t>处方</w:t>
      </w:r>
      <w:r>
        <w:rPr>
          <w:rFonts w:hint="eastAsia" w:ascii="宋体" w:hAnsi="Times New Roman" w:eastAsia="宋体" w:cs="Times New Roman"/>
        </w:rPr>
        <w:t>审核平台需要与县域医共体各成员单位信息系统（如HIS、PACS、LIS等）互联互通</w:t>
      </w:r>
      <w:r>
        <w:rPr>
          <w:rFonts w:hint="eastAsia" w:ascii="宋体" w:hAnsi="Times New Roman" w:eastAsia="宋体" w:cs="Times New Roman"/>
          <w:lang w:eastAsia="zh-CN"/>
        </w:rPr>
        <w:t>，</w:t>
      </w:r>
      <w:r>
        <w:rPr>
          <w:rFonts w:hint="eastAsia" w:ascii="宋体" w:hAnsi="Times New Roman" w:eastAsia="宋体" w:cs="Times New Roman"/>
          <w:lang w:val="en-US" w:eastAsia="zh-CN"/>
        </w:rPr>
        <w:t>可匹配或查阅必需的患者临床信息。处方审核系统需要对患者基本信息、临床诊断、处方信息、检验、检查、现病史、既往史、生命体征、过敏史、女性患者妊娠/哺乳/备孕状态、是否透析、静脉置管记录等数据进行有效整合，使得处方审核系统可进行智能审核或药师可进行人工审核。</w:t>
      </w:r>
    </w:p>
    <w:p>
      <w:pPr>
        <w:pStyle w:val="58"/>
        <w:ind w:firstLine="420"/>
        <w:rPr>
          <w:rFonts w:hint="eastAsia" w:ascii="宋体" w:hAnsi="Times New Roman" w:eastAsia="宋体" w:cs="Times New Roman"/>
          <w:lang w:val="en-US" w:eastAsia="zh-CN"/>
        </w:rPr>
      </w:pPr>
      <w:r>
        <w:rPr>
          <w:rFonts w:hint="eastAsia" w:ascii="宋体" w:hAnsi="Times New Roman" w:eastAsia="宋体" w:cs="Times New Roman"/>
          <w:lang w:val="en-US" w:eastAsia="zh-CN"/>
        </w:rPr>
        <w:t xml:space="preserve">处方审核系统可参考当地医保支付限制项、公立医院考核指标、基本药物政策等制定审核规则。 </w:t>
      </w:r>
    </w:p>
    <w:p>
      <w:pPr>
        <w:pStyle w:val="58"/>
        <w:ind w:firstLine="420"/>
        <w:rPr>
          <w:rFonts w:hint="eastAsia" w:ascii="宋体" w:hAnsi="Times New Roman" w:eastAsia="宋体" w:cs="Times New Roman"/>
        </w:rPr>
      </w:pPr>
      <w:r>
        <w:rPr>
          <w:rFonts w:hint="eastAsia" w:ascii="宋体" w:hAnsi="Times New Roman" w:eastAsia="宋体" w:cs="Times New Roman"/>
          <w:lang w:val="en-US" w:eastAsia="zh-CN"/>
        </w:rPr>
        <w:t>处方审核系统</w:t>
      </w:r>
      <w:r>
        <w:rPr>
          <w:rFonts w:hint="eastAsia" w:ascii="宋体" w:hAnsi="Times New Roman" w:eastAsia="宋体" w:cs="Times New Roman"/>
        </w:rPr>
        <w:t>应具备线上处方点评功能，并能将结果及时反馈给开方医师，中心可通过平台查阅点评结果、申述内容及给出申述评估意见。</w:t>
      </w:r>
    </w:p>
    <w:p>
      <w:pPr>
        <w:pStyle w:val="58"/>
        <w:ind w:firstLine="420"/>
        <w:rPr>
          <w:rFonts w:hint="eastAsia" w:ascii="宋体" w:hAnsi="Times New Roman" w:eastAsia="宋体" w:cs="Times New Roman"/>
        </w:rPr>
      </w:pPr>
      <w:r>
        <w:rPr>
          <w:rFonts w:hint="eastAsia" w:ascii="宋体" w:hAnsi="Times New Roman" w:eastAsia="宋体" w:cs="Times New Roman"/>
          <w:lang w:val="en-US" w:eastAsia="zh-CN"/>
        </w:rPr>
        <w:t>处方审核系统</w:t>
      </w:r>
      <w:r>
        <w:rPr>
          <w:rFonts w:hint="eastAsia" w:ascii="宋体" w:hAnsi="Times New Roman" w:eastAsia="宋体" w:cs="Times New Roman"/>
        </w:rPr>
        <w:t>应具备通过合理用药监控与统计报表模块实现对用药数据的收集与统计分析功能，持续提高医疗机构的合理用药水平。</w:t>
      </w:r>
    </w:p>
    <w:p>
      <w:pPr>
        <w:pStyle w:val="58"/>
        <w:keepNext w:val="0"/>
        <w:keepLines w:val="0"/>
        <w:pageBreakBefore w:val="0"/>
        <w:kinsoku/>
        <w:wordWrap/>
        <w:overflowPunct/>
        <w:topLinePunct w:val="0"/>
        <w:bidi w:val="0"/>
        <w:spacing w:line="240" w:lineRule="auto"/>
        <w:ind w:right="0"/>
        <w:rPr>
          <w:rFonts w:hint="eastAsia"/>
          <w:lang w:val="en-US" w:eastAsia="zh-CN"/>
        </w:rPr>
      </w:pPr>
    </w:p>
    <w:p>
      <w:pPr>
        <w:pStyle w:val="67"/>
        <w:numPr>
          <w:ilvl w:val="3"/>
          <w:numId w:val="0"/>
        </w:numPr>
        <w:spacing w:before="156" w:after="156"/>
        <w:ind w:leftChars="0"/>
        <w:rPr>
          <w:rFonts w:hint="eastAsia" w:hAnsi="Times New Roman" w:cs="Times New Roman"/>
          <w:lang w:val="en-US" w:eastAsia="zh-CN"/>
        </w:rPr>
      </w:pPr>
      <w:bookmarkStart w:id="101" w:name="_Toc164326239"/>
      <w:bookmarkStart w:id="102" w:name="_Toc164354049"/>
      <w:bookmarkStart w:id="103" w:name="_Toc164330367"/>
      <w:bookmarkStart w:id="104" w:name="_Toc164347972"/>
      <w:bookmarkStart w:id="105" w:name="_Toc164325736"/>
      <w:bookmarkStart w:id="106" w:name="_Toc164326292"/>
      <w:bookmarkStart w:id="107" w:name="_Toc164325770"/>
      <w:bookmarkStart w:id="108" w:name="_Toc164326080"/>
      <w:bookmarkStart w:id="109" w:name="_Toc164326049"/>
      <w:bookmarkStart w:id="110" w:name="_Toc164344010"/>
      <w:bookmarkStart w:id="111" w:name="_Toc164353767"/>
      <w:r>
        <w:rPr>
          <w:rFonts w:hint="eastAsia" w:hAnsi="Times New Roman" w:cs="Times New Roman"/>
          <w:lang w:val="en-US" w:eastAsia="zh-CN"/>
        </w:rPr>
        <w:t>5 运行管理</w:t>
      </w:r>
      <w:bookmarkEnd w:id="101"/>
      <w:bookmarkEnd w:id="102"/>
      <w:bookmarkEnd w:id="103"/>
      <w:bookmarkEnd w:id="104"/>
      <w:bookmarkEnd w:id="105"/>
      <w:bookmarkEnd w:id="106"/>
      <w:bookmarkEnd w:id="107"/>
      <w:bookmarkEnd w:id="108"/>
      <w:bookmarkEnd w:id="109"/>
      <w:bookmarkEnd w:id="110"/>
      <w:bookmarkEnd w:id="111"/>
    </w:p>
    <w:p>
      <w:pPr>
        <w:pStyle w:val="67"/>
        <w:numPr>
          <w:ilvl w:val="3"/>
          <w:numId w:val="0"/>
        </w:numPr>
        <w:spacing w:before="156" w:after="156"/>
        <w:ind w:leftChars="0"/>
        <w:rPr>
          <w:rFonts w:hint="eastAsia" w:hAnsi="Times New Roman" w:cs="Times New Roman"/>
          <w:lang w:val="en-US" w:eastAsia="zh-CN"/>
        </w:rPr>
      </w:pPr>
      <w:bookmarkStart w:id="112" w:name="_Toc164326294"/>
      <w:bookmarkStart w:id="113" w:name="_Toc164347974"/>
      <w:bookmarkStart w:id="114" w:name="_Toc164353769"/>
      <w:bookmarkStart w:id="115" w:name="_Toc164326051"/>
      <w:bookmarkStart w:id="116" w:name="_Toc164325772"/>
      <w:bookmarkStart w:id="117" w:name="_Toc164326241"/>
      <w:bookmarkStart w:id="118" w:name="_Toc164344012"/>
      <w:bookmarkStart w:id="119" w:name="_Toc164330369"/>
      <w:bookmarkStart w:id="120" w:name="_Toc164354051"/>
      <w:bookmarkStart w:id="121" w:name="_Toc164326082"/>
      <w:bookmarkStart w:id="122" w:name="_Toc164325738"/>
      <w:r>
        <w:rPr>
          <w:rFonts w:hint="eastAsia" w:hAnsi="Times New Roman" w:cs="Times New Roman"/>
          <w:lang w:val="en-US" w:eastAsia="zh-CN"/>
        </w:rPr>
        <w:t>5.1制度建设</w:t>
      </w:r>
      <w:bookmarkEnd w:id="112"/>
      <w:bookmarkEnd w:id="113"/>
      <w:bookmarkEnd w:id="114"/>
      <w:bookmarkEnd w:id="115"/>
      <w:bookmarkEnd w:id="116"/>
      <w:bookmarkEnd w:id="117"/>
      <w:bookmarkEnd w:id="118"/>
      <w:bookmarkEnd w:id="119"/>
      <w:bookmarkEnd w:id="120"/>
      <w:bookmarkEnd w:id="121"/>
      <w:bookmarkEnd w:id="122"/>
    </w:p>
    <w:p>
      <w:pPr>
        <w:pStyle w:val="58"/>
        <w:keepNext w:val="0"/>
        <w:keepLines w:val="0"/>
        <w:pageBreakBefore w:val="0"/>
        <w:kinsoku/>
        <w:wordWrap/>
        <w:overflowPunct/>
        <w:topLinePunct w:val="0"/>
        <w:bidi w:val="0"/>
        <w:spacing w:line="240" w:lineRule="auto"/>
        <w:ind w:left="0" w:right="0" w:firstLine="420" w:firstLineChars="200"/>
        <w:rPr>
          <w:rFonts w:hint="eastAsia" w:ascii="宋体" w:hAnsi="宋体" w:eastAsia="宋体" w:cs="Times New Roman"/>
          <w:sz w:val="21"/>
          <w:lang w:val="en-US" w:eastAsia="zh-CN" w:bidi="ar-SA"/>
        </w:rPr>
      </w:pPr>
      <w:bookmarkStart w:id="123" w:name="_Toc164325739"/>
      <w:r>
        <w:rPr>
          <w:rFonts w:hint="eastAsia" w:ascii="宋体" w:hAnsi="宋体" w:eastAsia="宋体" w:cs="Times New Roman"/>
          <w:sz w:val="21"/>
          <w:lang w:val="en-US" w:eastAsia="zh-CN" w:bidi="ar-SA"/>
        </w:rPr>
        <w:t>制度建设应符合《药品管理法》和相关法律、法规、规章的要求，应建立文件管理制度。新建立的制度应经医共体药事管理质控中心或牵头单位药事管理与治疗学委员会批准。</w:t>
      </w:r>
    </w:p>
    <w:p>
      <w:pPr>
        <w:pStyle w:val="58"/>
        <w:keepNext w:val="0"/>
        <w:keepLines w:val="0"/>
        <w:pageBreakBefore w:val="0"/>
        <w:kinsoku/>
        <w:wordWrap/>
        <w:overflowPunct/>
        <w:topLinePunct w:val="0"/>
        <w:bidi w:val="0"/>
        <w:spacing w:line="240" w:lineRule="auto"/>
        <w:ind w:left="0" w:right="0" w:firstLine="420" w:firstLineChars="200"/>
        <w:rPr>
          <w:rFonts w:hint="eastAsia" w:ascii="宋体" w:hAnsi="宋体" w:eastAsia="宋体" w:cs="Times New Roman"/>
          <w:sz w:val="21"/>
          <w:lang w:val="en-US" w:eastAsia="zh-CN" w:bidi="ar-SA"/>
        </w:rPr>
      </w:pPr>
      <w:r>
        <w:rPr>
          <w:rFonts w:hint="eastAsia" w:ascii="宋体" w:hAnsi="宋体" w:eastAsia="宋体" w:cs="Times New Roman"/>
          <w:sz w:val="21"/>
          <w:lang w:val="en-US" w:eastAsia="zh-CN" w:bidi="ar-SA"/>
        </w:rPr>
        <w:t>县级（区域）集中审方中心应有处方审核管理、质量管理的各项制度和文件，如工作制度</w:t>
      </w:r>
      <w:r>
        <w:rPr>
          <w:rFonts w:hint="eastAsia" w:hAnsi="宋体" w:cs="Times New Roman"/>
          <w:sz w:val="21"/>
          <w:lang w:val="en-US" w:eastAsia="zh-CN" w:bidi="ar-SA"/>
        </w:rPr>
        <w:t>、</w:t>
      </w:r>
      <w:r>
        <w:rPr>
          <w:rFonts w:hint="eastAsia" w:ascii="宋体" w:hAnsi="宋体" w:eastAsia="宋体" w:cs="Times New Roman"/>
          <w:sz w:val="21"/>
          <w:lang w:val="en-US" w:eastAsia="zh-CN" w:bidi="ar-SA"/>
        </w:rPr>
        <w:t>岗位职责和标准操作规程。</w:t>
      </w:r>
    </w:p>
    <w:p>
      <w:pPr>
        <w:pStyle w:val="58"/>
        <w:keepNext w:val="0"/>
        <w:keepLines w:val="0"/>
        <w:pageBreakBefore w:val="0"/>
        <w:kinsoku/>
        <w:wordWrap/>
        <w:overflowPunct/>
        <w:topLinePunct w:val="0"/>
        <w:bidi w:val="0"/>
        <w:spacing w:line="240" w:lineRule="auto"/>
        <w:ind w:left="0" w:right="0" w:firstLine="420" w:firstLineChars="200"/>
        <w:rPr>
          <w:rFonts w:hint="eastAsia"/>
          <w:lang w:val="en-US" w:eastAsia="zh-CN"/>
        </w:rPr>
      </w:pPr>
    </w:p>
    <w:bookmarkEnd w:id="123"/>
    <w:p>
      <w:pPr>
        <w:pStyle w:val="67"/>
        <w:numPr>
          <w:ilvl w:val="3"/>
          <w:numId w:val="0"/>
        </w:numPr>
        <w:spacing w:before="156" w:after="156"/>
        <w:ind w:leftChars="0"/>
        <w:rPr>
          <w:rFonts w:hint="eastAsia" w:hAnsi="Times New Roman" w:cs="Times New Roman"/>
          <w:lang w:val="en-US" w:eastAsia="zh-CN"/>
        </w:rPr>
      </w:pPr>
      <w:bookmarkStart w:id="124" w:name="_Toc164325741"/>
      <w:r>
        <w:rPr>
          <w:rFonts w:hint="eastAsia" w:hAnsi="Times New Roman" w:cs="Times New Roman"/>
          <w:lang w:val="en-US" w:eastAsia="zh-CN"/>
        </w:rPr>
        <w:t>5.1.1岗位职责</w:t>
      </w:r>
      <w:bookmarkEnd w:id="124"/>
    </w:p>
    <w:p>
      <w:pPr>
        <w:pStyle w:val="58"/>
        <w:keepNext w:val="0"/>
        <w:keepLines w:val="0"/>
        <w:pageBreakBefore w:val="0"/>
        <w:kinsoku/>
        <w:wordWrap/>
        <w:overflowPunct/>
        <w:topLinePunct w:val="0"/>
        <w:bidi w:val="0"/>
        <w:spacing w:line="240" w:lineRule="auto"/>
        <w:ind w:left="0" w:right="0" w:firstLine="420" w:firstLineChars="200"/>
        <w:rPr>
          <w:rFonts w:hint="eastAsia"/>
          <w:lang w:val="en-US" w:eastAsia="zh-CN"/>
        </w:rPr>
      </w:pPr>
      <w:r>
        <w:rPr>
          <w:rFonts w:hint="eastAsia"/>
          <w:lang w:val="en-US" w:eastAsia="zh-CN"/>
        </w:rPr>
        <w:t>5.1.1.1 审方药师是处方审核工作的第一责任人。</w:t>
      </w:r>
    </w:p>
    <w:p>
      <w:pPr>
        <w:pStyle w:val="58"/>
        <w:keepNext w:val="0"/>
        <w:keepLines w:val="0"/>
        <w:pageBreakBefore w:val="0"/>
        <w:kinsoku/>
        <w:wordWrap/>
        <w:overflowPunct/>
        <w:topLinePunct w:val="0"/>
        <w:bidi w:val="0"/>
        <w:spacing w:line="240" w:lineRule="auto"/>
        <w:ind w:left="0" w:right="0" w:firstLine="420" w:firstLineChars="200"/>
        <w:rPr>
          <w:rFonts w:hint="eastAsia"/>
          <w:lang w:val="en-US" w:eastAsia="zh-CN"/>
        </w:rPr>
      </w:pPr>
      <w:r>
        <w:rPr>
          <w:rFonts w:hint="eastAsia"/>
          <w:lang w:val="en-US" w:eastAsia="zh-CN"/>
        </w:rPr>
        <w:t>5.1.1.2 审方药师审核处方时必须做到“四查十对”：查处方，对科别、姓名、年龄；查药品，对药名、剂型、规格、数量；查配伍禁忌，对药品性状、用法用量；查用药合理性，对临床诊断。</w:t>
      </w:r>
    </w:p>
    <w:p>
      <w:pPr>
        <w:pStyle w:val="58"/>
        <w:keepNext w:val="0"/>
        <w:keepLines w:val="0"/>
        <w:pageBreakBefore w:val="0"/>
        <w:kinsoku/>
        <w:wordWrap/>
        <w:overflowPunct/>
        <w:topLinePunct w:val="0"/>
        <w:bidi w:val="0"/>
        <w:spacing w:line="240" w:lineRule="auto"/>
        <w:ind w:left="0" w:right="0" w:firstLine="420" w:firstLineChars="200"/>
        <w:rPr>
          <w:rFonts w:hint="eastAsia"/>
          <w:lang w:val="en-US" w:eastAsia="zh-CN"/>
        </w:rPr>
      </w:pPr>
      <w:r>
        <w:rPr>
          <w:rFonts w:hint="eastAsia"/>
          <w:lang w:val="en-US" w:eastAsia="zh-CN"/>
        </w:rPr>
        <w:t>5.1.1.3 审方药师应当对处方各项内容进行逐一审核，对信息系统筛选出的不合理处方及信息系统不能审核的部分，应当由审方药师进行人工审核。</w:t>
      </w:r>
    </w:p>
    <w:p>
      <w:pPr>
        <w:pStyle w:val="58"/>
        <w:keepNext w:val="0"/>
        <w:keepLines w:val="0"/>
        <w:pageBreakBefore w:val="0"/>
        <w:kinsoku/>
        <w:wordWrap/>
        <w:overflowPunct/>
        <w:topLinePunct w:val="0"/>
        <w:bidi w:val="0"/>
        <w:spacing w:line="240" w:lineRule="auto"/>
        <w:ind w:left="0" w:right="0" w:firstLine="420" w:firstLineChars="200"/>
        <w:rPr>
          <w:rFonts w:hint="eastAsia"/>
          <w:lang w:val="en-US" w:eastAsia="zh-CN"/>
        </w:rPr>
      </w:pPr>
      <w:r>
        <w:rPr>
          <w:rFonts w:hint="eastAsia"/>
          <w:lang w:val="en-US" w:eastAsia="zh-CN"/>
        </w:rPr>
        <w:t>5.1.1.4 经审方药师审核后，认为存在用药不适宜时，应当告知处方医师，建议其修改或者重新开具处方；审方药师发现不合理用药，处方医师医师对患者病情评估后坚持使用原治疗方案，再次复核并签名确认后处方可继续收费。医师再次复核签名确认使用原治疗方案的处方（医师双签处方），在系统中予以记录，纳入处方点评；审方药师发现严重不合理用药或者用药错误时，应当拒绝通过，及时告知处方医师并记录，按照有关规定报告。</w:t>
      </w:r>
    </w:p>
    <w:p>
      <w:pPr>
        <w:pStyle w:val="58"/>
        <w:keepNext w:val="0"/>
        <w:keepLines w:val="0"/>
        <w:pageBreakBefore w:val="0"/>
        <w:kinsoku/>
        <w:wordWrap/>
        <w:overflowPunct/>
        <w:topLinePunct w:val="0"/>
        <w:bidi w:val="0"/>
        <w:spacing w:line="240" w:lineRule="auto"/>
        <w:ind w:left="0" w:right="0" w:firstLine="420" w:firstLineChars="200"/>
        <w:rPr>
          <w:rFonts w:hint="eastAsia"/>
          <w:lang w:val="en-US" w:eastAsia="zh-CN"/>
        </w:rPr>
      </w:pPr>
      <w:r>
        <w:rPr>
          <w:rFonts w:hint="eastAsia"/>
          <w:lang w:val="en-US" w:eastAsia="zh-CN"/>
        </w:rPr>
        <w:t>5.1.1.5 所有处方均应当经审核通过后方可进入收费和调配环节，未经审核通过的处方不得收费和调配。</w:t>
      </w:r>
    </w:p>
    <w:p>
      <w:pPr>
        <w:pStyle w:val="67"/>
        <w:numPr>
          <w:ilvl w:val="3"/>
          <w:numId w:val="0"/>
        </w:numPr>
        <w:spacing w:before="156" w:after="156"/>
        <w:ind w:leftChars="0"/>
        <w:rPr>
          <w:rFonts w:hint="eastAsia" w:hAnsi="Times New Roman" w:cs="Times New Roman"/>
          <w:lang w:val="en-US" w:eastAsia="zh-CN"/>
        </w:rPr>
      </w:pPr>
      <w:bookmarkStart w:id="125" w:name="_Toc164325742"/>
      <w:r>
        <w:rPr>
          <w:rFonts w:hint="eastAsia" w:hAnsi="Times New Roman" w:cs="Times New Roman"/>
          <w:lang w:val="en-US" w:eastAsia="zh-CN"/>
        </w:rPr>
        <w:t>5.1.2工作制度</w:t>
      </w:r>
      <w:bookmarkEnd w:id="125"/>
    </w:p>
    <w:p>
      <w:pPr>
        <w:pStyle w:val="58"/>
        <w:keepNext w:val="0"/>
        <w:keepLines w:val="0"/>
        <w:pageBreakBefore w:val="0"/>
        <w:kinsoku/>
        <w:wordWrap/>
        <w:overflowPunct/>
        <w:topLinePunct w:val="0"/>
        <w:bidi w:val="0"/>
        <w:spacing w:line="240" w:lineRule="auto"/>
        <w:ind w:left="0" w:right="0" w:firstLine="420" w:firstLineChars="200"/>
        <w:rPr>
          <w:rFonts w:hint="eastAsia" w:ascii="宋体" w:hAnsi="宋体" w:eastAsia="宋体" w:cs="Times New Roman"/>
          <w:sz w:val="21"/>
          <w:lang w:val="en-US" w:eastAsia="zh-CN" w:bidi="ar-SA"/>
        </w:rPr>
      </w:pPr>
      <w:r>
        <w:rPr>
          <w:rFonts w:hint="eastAsia" w:ascii="宋体" w:hAnsi="宋体" w:eastAsia="宋体" w:cs="Times New Roman"/>
          <w:sz w:val="21"/>
          <w:lang w:val="en-US" w:eastAsia="zh-CN" w:bidi="ar-SA"/>
        </w:rPr>
        <w:t>5.1.2.1 开展处方审核应当满足以下必备条件：配备适宜的处方审核人员；具备处方审核场所；建立处方审核信息系统；</w:t>
      </w:r>
      <w:bookmarkStart w:id="126" w:name="_Hlk493682620"/>
      <w:r>
        <w:rPr>
          <w:rFonts w:hint="eastAsia" w:ascii="宋体" w:hAnsi="宋体" w:eastAsia="宋体" w:cs="Times New Roman"/>
          <w:sz w:val="21"/>
          <w:lang w:val="en-US" w:eastAsia="zh-CN" w:bidi="ar-SA"/>
        </w:rPr>
        <w:t>制订本区域的处方审核规范</w:t>
      </w:r>
      <w:bookmarkEnd w:id="126"/>
      <w:r>
        <w:rPr>
          <w:rFonts w:hint="eastAsia" w:ascii="宋体" w:hAnsi="宋体" w:eastAsia="宋体" w:cs="Times New Roman"/>
          <w:sz w:val="21"/>
          <w:lang w:val="en-US" w:eastAsia="zh-CN" w:bidi="ar-SA"/>
        </w:rPr>
        <w:t>与制度。</w:t>
      </w:r>
    </w:p>
    <w:p>
      <w:pPr>
        <w:pStyle w:val="96"/>
        <w:keepNext w:val="0"/>
        <w:keepLines w:val="0"/>
        <w:pageBreakBefore w:val="0"/>
        <w:numPr>
          <w:ilvl w:val="4"/>
          <w:numId w:val="0"/>
        </w:numPr>
        <w:kinsoku/>
        <w:wordWrap/>
        <w:overflowPunct/>
        <w:topLinePunct w:val="0"/>
        <w:bidi w:val="0"/>
        <w:spacing w:before="0" w:beforeLines="0" w:after="0" w:afterLines="0" w:line="240" w:lineRule="auto"/>
        <w:ind w:right="0" w:rightChars="0" w:firstLine="420" w:firstLineChars="200"/>
        <w:rPr>
          <w:rFonts w:hint="eastAsia" w:ascii="宋体" w:hAnsi="宋体" w:eastAsia="宋体" w:cs="Times New Roman"/>
        </w:rPr>
      </w:pPr>
      <w:r>
        <w:rPr>
          <w:rFonts w:hint="eastAsia" w:ascii="宋体" w:hAnsi="宋体" w:eastAsia="宋体" w:cs="Times New Roman"/>
          <w:lang w:val="en-US" w:eastAsia="zh-CN"/>
        </w:rPr>
        <w:t xml:space="preserve">5.1.2.2 </w:t>
      </w:r>
      <w:r>
        <w:rPr>
          <w:rFonts w:hint="eastAsia" w:ascii="宋体" w:hAnsi="宋体" w:eastAsia="宋体" w:cs="Times New Roman"/>
        </w:rPr>
        <w:t>区域内各医疗机构积极推进处方审核信息化，通过信息系统为处方审核提供必要的信息，如电子处</w:t>
      </w:r>
      <w:r>
        <w:rPr>
          <w:rFonts w:hint="eastAsia" w:ascii="宋体" w:hAnsi="Times New Roman" w:eastAsia="宋体" w:cs="Times New Roman"/>
          <w:sz w:val="21"/>
          <w:lang w:val="en-US" w:eastAsia="zh-CN" w:bidi="ar-SA"/>
        </w:rPr>
        <w:t>方，以及医学</w:t>
      </w:r>
      <w:r>
        <w:rPr>
          <w:rFonts w:hint="eastAsia" w:ascii="宋体" w:hAnsi="宋体" w:eastAsia="宋体" w:cs="Times New Roman"/>
          <w:color w:val="000000" w:themeColor="text1"/>
          <w14:textFill>
            <w14:solidFill>
              <w14:schemeClr w14:val="tx1"/>
            </w14:solidFill>
          </w14:textFill>
        </w:rPr>
        <w:t>相</w:t>
      </w:r>
      <w:r>
        <w:rPr>
          <w:rFonts w:hint="eastAsia" w:ascii="宋体" w:hAnsi="宋体" w:eastAsia="宋体" w:cs="Times New Roman"/>
        </w:rPr>
        <w:t>关检查、检验学资料、现病史、既往史、用药史、过敏史等电子病历信息。信息系统内置审方规则应当由</w:t>
      </w:r>
      <w:r>
        <w:rPr>
          <w:rFonts w:hint="eastAsia" w:ascii="宋体" w:hAnsi="宋体" w:eastAsia="宋体" w:cs="Times New Roman"/>
          <w:lang w:val="en-US" w:eastAsia="zh-CN"/>
        </w:rPr>
        <w:t>县级（区域）集中</w:t>
      </w:r>
      <w:r>
        <w:rPr>
          <w:rFonts w:hint="eastAsia" w:ascii="宋体" w:hAnsi="宋体" w:eastAsia="宋体" w:cs="Times New Roman"/>
        </w:rPr>
        <w:t>审方中心制定</w:t>
      </w:r>
      <w:r>
        <w:rPr>
          <w:rFonts w:hint="eastAsia" w:ascii="宋体" w:hAnsi="宋体" w:eastAsia="宋体" w:cs="Times New Roman"/>
          <w:lang w:eastAsia="zh-CN"/>
        </w:rPr>
        <w:t>，</w:t>
      </w:r>
      <w:r>
        <w:rPr>
          <w:rFonts w:hint="eastAsia" w:ascii="宋体" w:hAnsi="宋体" w:eastAsia="宋体" w:cs="Times New Roman"/>
          <w:lang w:val="en-US" w:eastAsia="zh-CN"/>
        </w:rPr>
        <w:t>应有</w:t>
      </w:r>
      <w:r>
        <w:rPr>
          <w:rFonts w:hint="eastAsia" w:ascii="宋体" w:hAnsi="宋体" w:eastAsia="宋体" w:cs="Times New Roman"/>
        </w:rPr>
        <w:t>明确的临床用药依据来源</w:t>
      </w:r>
      <w:r>
        <w:rPr>
          <w:rFonts w:hint="eastAsia" w:ascii="宋体" w:hAnsi="宋体" w:eastAsia="宋体" w:cs="Times New Roman"/>
          <w:lang w:eastAsia="zh-CN"/>
        </w:rPr>
        <w:t>，</w:t>
      </w:r>
      <w:r>
        <w:rPr>
          <w:rFonts w:hint="eastAsia" w:ascii="宋体" w:hAnsi="宋体" w:eastAsia="宋体" w:cs="Times New Roman"/>
          <w:lang w:val="en-US" w:eastAsia="zh-CN"/>
        </w:rPr>
        <w:t>经医共体药事管理质控中心或牵头单位药事管理与治疗学委员会审核确定。</w:t>
      </w:r>
    </w:p>
    <w:p>
      <w:pPr>
        <w:pStyle w:val="96"/>
        <w:keepNext w:val="0"/>
        <w:keepLines w:val="0"/>
        <w:pageBreakBefore w:val="0"/>
        <w:numPr>
          <w:ilvl w:val="4"/>
          <w:numId w:val="0"/>
        </w:numPr>
        <w:kinsoku/>
        <w:wordWrap/>
        <w:overflowPunct/>
        <w:topLinePunct w:val="0"/>
        <w:bidi w:val="0"/>
        <w:spacing w:before="0" w:beforeLines="0" w:after="0" w:afterLines="0" w:line="240" w:lineRule="auto"/>
        <w:ind w:right="0" w:rightChars="0" w:firstLine="420" w:firstLineChars="200"/>
        <w:rPr>
          <w:rFonts w:hint="eastAsia" w:ascii="宋体" w:hAnsi="宋体" w:eastAsia="宋体" w:cs="Times New Roman"/>
          <w:highlight w:val="none"/>
        </w:rPr>
      </w:pPr>
      <w:r>
        <w:rPr>
          <w:rFonts w:hint="eastAsia" w:ascii="宋体" w:hAnsi="宋体" w:eastAsia="宋体" w:cs="Times New Roman"/>
          <w:highlight w:val="none"/>
          <w:lang w:val="en-US" w:eastAsia="zh-CN"/>
        </w:rPr>
        <w:t>5.1.2.3 县级医共体办公室</w:t>
      </w:r>
      <w:r>
        <w:rPr>
          <w:rFonts w:hint="eastAsia" w:ascii="宋体" w:hAnsi="宋体" w:eastAsia="宋体" w:cs="Times New Roman"/>
          <w:highlight w:val="none"/>
        </w:rPr>
        <w:t>统一在区域内各医疗机构HIS系统安装</w:t>
      </w:r>
      <w:r>
        <w:rPr>
          <w:rFonts w:hint="eastAsia" w:ascii="宋体" w:hAnsi="宋体" w:eastAsia="宋体" w:cs="Times New Roman"/>
          <w:highlight w:val="none"/>
          <w:lang w:val="en-US" w:eastAsia="zh-CN"/>
        </w:rPr>
        <w:t>处方审核软件系统</w:t>
      </w:r>
      <w:r>
        <w:rPr>
          <w:rFonts w:hint="eastAsia" w:ascii="宋体" w:hAnsi="宋体" w:eastAsia="宋体" w:cs="Times New Roman"/>
          <w:highlight w:val="none"/>
        </w:rPr>
        <w:t>，药师在审核处方或医嘱时，</w:t>
      </w:r>
      <w:r>
        <w:rPr>
          <w:rFonts w:hint="eastAsia" w:ascii="宋体" w:hAnsi="宋体" w:eastAsia="宋体" w:cs="Times New Roman"/>
          <w:highlight w:val="none"/>
          <w:lang w:val="en-US" w:eastAsia="zh-CN"/>
        </w:rPr>
        <w:t>参考处方审核</w:t>
      </w:r>
      <w:r>
        <w:rPr>
          <w:rFonts w:hint="eastAsia" w:ascii="宋体" w:hAnsi="宋体" w:eastAsia="宋体" w:cs="Times New Roman"/>
          <w:highlight w:val="none"/>
        </w:rPr>
        <w:t>系统的警示</w:t>
      </w:r>
      <w:r>
        <w:rPr>
          <w:rFonts w:hint="eastAsia" w:ascii="宋体" w:hAnsi="宋体" w:eastAsia="宋体" w:cs="Times New Roman"/>
          <w:highlight w:val="none"/>
          <w:lang w:eastAsia="zh-CN"/>
        </w:rPr>
        <w:t>，</w:t>
      </w:r>
      <w:r>
        <w:rPr>
          <w:rFonts w:hint="eastAsia" w:ascii="宋体" w:hAnsi="宋体" w:eastAsia="宋体" w:cs="Times New Roman"/>
          <w:highlight w:val="none"/>
        </w:rPr>
        <w:t>结合具体用药情况，对所有处方或医嘱的适宜性进行仔细审核。</w:t>
      </w:r>
    </w:p>
    <w:p>
      <w:pPr>
        <w:pStyle w:val="96"/>
        <w:keepNext w:val="0"/>
        <w:keepLines w:val="0"/>
        <w:pageBreakBefore w:val="0"/>
        <w:numPr>
          <w:ilvl w:val="4"/>
          <w:numId w:val="0"/>
        </w:numPr>
        <w:kinsoku/>
        <w:wordWrap/>
        <w:overflowPunct/>
        <w:topLinePunct w:val="0"/>
        <w:bidi w:val="0"/>
        <w:spacing w:before="0" w:beforeLines="0" w:after="0" w:afterLines="0" w:line="240" w:lineRule="auto"/>
        <w:ind w:right="0" w:rightChars="0" w:firstLine="420" w:firstLineChars="200"/>
        <w:rPr>
          <w:rFonts w:hint="eastAsia" w:ascii="宋体" w:hAnsi="宋体" w:eastAsia="宋体" w:cs="Times New Roman"/>
          <w:highlight w:val="none"/>
        </w:rPr>
      </w:pPr>
      <w:r>
        <w:rPr>
          <w:rFonts w:hint="eastAsia" w:ascii="宋体" w:hAnsi="宋体" w:eastAsia="宋体" w:cs="Times New Roman"/>
          <w:highlight w:val="none"/>
          <w:lang w:val="en-US" w:eastAsia="zh-CN"/>
        </w:rPr>
        <w:t>5.1.2.4 县级（区域）集中审方中心</w:t>
      </w:r>
      <w:r>
        <w:rPr>
          <w:rFonts w:hint="eastAsia" w:ascii="宋体" w:hAnsi="宋体" w:eastAsia="宋体" w:cs="Times New Roman"/>
          <w:highlight w:val="none"/>
          <w:lang w:val="en-US"/>
        </w:rPr>
        <w:t>负责审核所有处方或医嘱的规范性和适宜性，</w:t>
      </w:r>
      <w:r>
        <w:rPr>
          <w:rFonts w:hint="eastAsia" w:ascii="宋体" w:hAnsi="宋体" w:eastAsia="宋体" w:cs="Times New Roman"/>
          <w:highlight w:val="none"/>
          <w:lang w:val="en-US" w:eastAsia="zh-CN"/>
        </w:rPr>
        <w:t>经审方药师</w:t>
      </w:r>
      <w:r>
        <w:rPr>
          <w:rFonts w:hint="eastAsia" w:ascii="宋体" w:hAnsi="宋体" w:eastAsia="宋体" w:cs="Times New Roman"/>
          <w:highlight w:val="none"/>
          <w:lang w:val="en-US"/>
        </w:rPr>
        <w:t>认真审核后，方能</w:t>
      </w:r>
      <w:r>
        <w:rPr>
          <w:rFonts w:hint="eastAsia" w:ascii="宋体" w:hAnsi="宋体" w:eastAsia="宋体" w:cs="Times New Roman"/>
          <w:highlight w:val="none"/>
          <w:lang w:val="en-US" w:eastAsia="zh-CN"/>
        </w:rPr>
        <w:t>收费</w:t>
      </w:r>
      <w:r>
        <w:rPr>
          <w:rFonts w:hint="eastAsia" w:ascii="宋体" w:hAnsi="宋体" w:eastAsia="宋体" w:cs="Times New Roman"/>
          <w:highlight w:val="none"/>
          <w:lang w:val="en-US"/>
        </w:rPr>
        <w:t>。有问题时，及时联系到开方医师，把好安全用药关。</w:t>
      </w:r>
    </w:p>
    <w:p>
      <w:pPr>
        <w:pStyle w:val="96"/>
        <w:keepNext w:val="0"/>
        <w:keepLines w:val="0"/>
        <w:pageBreakBefore w:val="0"/>
        <w:numPr>
          <w:ilvl w:val="4"/>
          <w:numId w:val="0"/>
        </w:numPr>
        <w:kinsoku/>
        <w:wordWrap/>
        <w:overflowPunct/>
        <w:topLinePunct w:val="0"/>
        <w:bidi w:val="0"/>
        <w:spacing w:before="0" w:beforeLines="0" w:after="0" w:afterLines="0" w:line="240" w:lineRule="auto"/>
        <w:ind w:right="0" w:rightChars="0" w:firstLine="420" w:firstLineChars="200"/>
        <w:rPr>
          <w:rFonts w:hint="eastAsia" w:ascii="宋体" w:hAnsi="宋体" w:eastAsia="宋体" w:cs="Times New Roman"/>
          <w:highlight w:val="none"/>
        </w:rPr>
      </w:pPr>
      <w:r>
        <w:rPr>
          <w:rFonts w:hint="eastAsia" w:ascii="宋体" w:hAnsi="宋体" w:eastAsia="宋体" w:cs="Times New Roman"/>
          <w:highlight w:val="none"/>
          <w:lang w:val="en-US" w:eastAsia="zh-CN"/>
        </w:rPr>
        <w:t>5.1.2.5审方</w:t>
      </w:r>
      <w:r>
        <w:rPr>
          <w:rFonts w:hint="eastAsia" w:ascii="宋体" w:hAnsi="宋体" w:eastAsia="宋体" w:cs="Times New Roman"/>
          <w:highlight w:val="none"/>
        </w:rPr>
        <w:t>药师审核处方或医嘱的内容包括</w:t>
      </w:r>
      <w:r>
        <w:rPr>
          <w:rFonts w:hint="eastAsia" w:ascii="宋体" w:hAnsi="宋体" w:eastAsia="宋体" w:cs="Times New Roman"/>
          <w:highlight w:val="none"/>
          <w:lang w:val="en-US" w:eastAsia="zh-CN"/>
        </w:rPr>
        <w:t>但不限于以下方面：</w:t>
      </w:r>
      <w:r>
        <w:rPr>
          <w:rFonts w:hint="eastAsia" w:ascii="宋体" w:hAnsi="宋体" w:eastAsia="宋体" w:cs="Times New Roman"/>
          <w:highlight w:val="none"/>
        </w:rPr>
        <w:t>适应证、禁忌症、过敏史、用法用量、溶媒配伍、给药途径、累积剂量、疗程、给药时机、药物相互作用、重复用药、肾功能不全、肝功能不全、妊娠/ 哺乳期、老年人、儿童、性别用药</w:t>
      </w:r>
      <w:r>
        <w:rPr>
          <w:rFonts w:hint="eastAsia" w:ascii="宋体" w:hAnsi="宋体" w:eastAsia="宋体" w:cs="Times New Roman"/>
          <w:highlight w:val="none"/>
          <w:lang w:val="en-US" w:eastAsia="zh-CN"/>
        </w:rPr>
        <w:t>等</w:t>
      </w:r>
      <w:r>
        <w:rPr>
          <w:rFonts w:hint="eastAsia" w:ascii="宋体" w:hAnsi="宋体" w:eastAsia="宋体" w:cs="Times New Roman"/>
          <w:highlight w:val="none"/>
        </w:rPr>
        <w:t>。</w:t>
      </w:r>
    </w:p>
    <w:p>
      <w:pPr>
        <w:pStyle w:val="96"/>
        <w:keepNext w:val="0"/>
        <w:keepLines w:val="0"/>
        <w:pageBreakBefore w:val="0"/>
        <w:numPr>
          <w:ilvl w:val="4"/>
          <w:numId w:val="0"/>
        </w:numPr>
        <w:kinsoku/>
        <w:wordWrap/>
        <w:overflowPunct/>
        <w:topLinePunct w:val="0"/>
        <w:bidi w:val="0"/>
        <w:spacing w:before="0" w:beforeLines="0" w:after="0" w:afterLines="0" w:line="240" w:lineRule="auto"/>
        <w:ind w:right="0" w:rightChars="0" w:firstLine="420" w:firstLineChars="200"/>
        <w:rPr>
          <w:rFonts w:hint="eastAsia" w:ascii="宋体" w:hAnsi="宋体" w:eastAsia="宋体" w:cs="Times New Roman"/>
          <w:highlight w:val="none"/>
          <w:lang w:val="en-US" w:eastAsia="zh-CN"/>
        </w:rPr>
      </w:pPr>
      <w:r>
        <w:rPr>
          <w:rFonts w:hint="eastAsia" w:ascii="宋体" w:hAnsi="宋体" w:eastAsia="宋体" w:cs="Times New Roman"/>
          <w:lang w:val="en-US" w:eastAsia="zh-CN"/>
        </w:rPr>
        <w:t>5.1.3.6 处方审核时限：为减少对医师开方时长的影响，中心可根据工作量与人员的安排进行处方审核时限设定，一般建议设定在不</w:t>
      </w:r>
      <w:r>
        <w:rPr>
          <w:rFonts w:hint="eastAsia" w:ascii="宋体" w:hAnsi="宋体" w:eastAsia="宋体" w:cs="Times New Roman"/>
          <w:highlight w:val="none"/>
          <w:lang w:val="en-US" w:eastAsia="zh-CN"/>
        </w:rPr>
        <w:t>超过120s每张为宜，减少对开方医师诊疗工作的干扰。</w:t>
      </w:r>
    </w:p>
    <w:p>
      <w:pPr>
        <w:pStyle w:val="96"/>
        <w:keepNext w:val="0"/>
        <w:keepLines w:val="0"/>
        <w:pageBreakBefore w:val="0"/>
        <w:numPr>
          <w:ilvl w:val="4"/>
          <w:numId w:val="0"/>
        </w:numPr>
        <w:kinsoku/>
        <w:wordWrap/>
        <w:overflowPunct/>
        <w:topLinePunct w:val="0"/>
        <w:bidi w:val="0"/>
        <w:spacing w:before="0" w:beforeLines="0" w:after="0" w:afterLines="0" w:line="240" w:lineRule="auto"/>
        <w:ind w:right="0" w:rightChars="0" w:firstLine="420" w:firstLineChars="200"/>
        <w:rPr>
          <w:rFonts w:hint="eastAsia" w:ascii="宋体" w:hAnsi="宋体" w:eastAsia="宋体" w:cs="Times New Roman"/>
          <w:highlight w:val="none"/>
        </w:rPr>
      </w:pPr>
      <w:r>
        <w:rPr>
          <w:rFonts w:hint="eastAsia" w:ascii="宋体" w:hAnsi="宋体" w:eastAsia="宋体" w:cs="Times New Roman"/>
          <w:highlight w:val="none"/>
          <w:lang w:val="en-US" w:eastAsia="zh-CN"/>
        </w:rPr>
        <w:t>5.1.2.7 区域集中审方</w:t>
      </w:r>
      <w:r>
        <w:rPr>
          <w:rFonts w:hint="eastAsia" w:ascii="宋体" w:hAnsi="宋体" w:eastAsia="宋体" w:cs="Times New Roman"/>
          <w:highlight w:val="none"/>
        </w:rPr>
        <w:t>中心应当制定信息系统相关的安全保密制度,防止药品、患者用药等信息泄露，做好相应的信息系统故障应急预案。</w:t>
      </w:r>
    </w:p>
    <w:p>
      <w:pPr>
        <w:pStyle w:val="96"/>
        <w:keepNext w:val="0"/>
        <w:keepLines w:val="0"/>
        <w:pageBreakBefore w:val="0"/>
        <w:numPr>
          <w:ilvl w:val="4"/>
          <w:numId w:val="0"/>
        </w:numPr>
        <w:kinsoku/>
        <w:wordWrap/>
        <w:overflowPunct/>
        <w:topLinePunct w:val="0"/>
        <w:bidi w:val="0"/>
        <w:spacing w:before="0" w:beforeLines="0" w:after="0" w:afterLines="0" w:line="240" w:lineRule="auto"/>
        <w:ind w:right="0" w:rightChars="0" w:firstLine="420" w:firstLineChars="200"/>
        <w:rPr>
          <w:rFonts w:hint="eastAsia" w:ascii="宋体" w:hAnsi="宋体" w:eastAsia="宋体" w:cs="Times New Roman"/>
          <w:highlight w:val="none"/>
        </w:rPr>
      </w:pPr>
      <w:r>
        <w:rPr>
          <w:rFonts w:hint="eastAsia" w:ascii="宋体" w:hAnsi="宋体" w:eastAsia="宋体" w:cs="Times New Roman"/>
          <w:highlight w:val="none"/>
          <w:lang w:val="en-US" w:eastAsia="zh-CN"/>
        </w:rPr>
        <w:t xml:space="preserve">5.1.2.8 </w:t>
      </w:r>
      <w:r>
        <w:rPr>
          <w:rFonts w:hint="eastAsia" w:ascii="宋体" w:hAnsi="宋体" w:eastAsia="宋体" w:cs="Times New Roman"/>
          <w:highlight w:val="none"/>
        </w:rPr>
        <w:t>使用</w:t>
      </w:r>
      <w:r>
        <w:rPr>
          <w:rFonts w:hint="eastAsia" w:ascii="宋体" w:hAnsi="宋体" w:eastAsia="宋体" w:cs="Times New Roman"/>
          <w:highlight w:val="none"/>
          <w:lang w:val="en-US" w:eastAsia="zh-CN"/>
        </w:rPr>
        <w:t>处方审核</w:t>
      </w:r>
      <w:r>
        <w:rPr>
          <w:rFonts w:hint="eastAsia" w:ascii="宋体" w:hAnsi="宋体" w:eastAsia="宋体" w:cs="Times New Roman"/>
          <w:highlight w:val="none"/>
        </w:rPr>
        <w:t>系统软件要定期升级。</w:t>
      </w:r>
    </w:p>
    <w:p>
      <w:pPr>
        <w:pStyle w:val="96"/>
        <w:keepNext w:val="0"/>
        <w:keepLines w:val="0"/>
        <w:pageBreakBefore w:val="0"/>
        <w:numPr>
          <w:ilvl w:val="4"/>
          <w:numId w:val="0"/>
        </w:numPr>
        <w:kinsoku/>
        <w:wordWrap/>
        <w:overflowPunct/>
        <w:topLinePunct w:val="0"/>
        <w:bidi w:val="0"/>
        <w:spacing w:before="0" w:beforeLines="0" w:after="0" w:afterLines="0" w:line="240" w:lineRule="auto"/>
        <w:ind w:right="0" w:rightChars="0" w:firstLine="420" w:firstLineChars="200"/>
        <w:rPr>
          <w:rFonts w:hint="eastAsia" w:ascii="宋体" w:hAnsi="宋体" w:eastAsia="宋体" w:cs="Times New Roman"/>
          <w:highlight w:val="none"/>
        </w:rPr>
      </w:pPr>
      <w:r>
        <w:rPr>
          <w:rFonts w:hint="eastAsia" w:ascii="宋体" w:hAnsi="宋体" w:eastAsia="宋体" w:cs="Times New Roman"/>
          <w:highlight w:val="none"/>
          <w:lang w:val="en-US" w:eastAsia="zh-CN"/>
        </w:rPr>
        <w:t xml:space="preserve">5.1.2.9 </w:t>
      </w:r>
      <w:r>
        <w:rPr>
          <w:rFonts w:hint="eastAsia" w:ascii="宋体" w:hAnsi="宋体" w:eastAsia="宋体" w:cs="Times New Roman"/>
          <w:highlight w:val="none"/>
        </w:rPr>
        <w:t>定期组织</w:t>
      </w:r>
      <w:r>
        <w:rPr>
          <w:rFonts w:hint="eastAsia" w:ascii="宋体" w:hAnsi="宋体" w:eastAsia="宋体" w:cs="Times New Roman"/>
          <w:highlight w:val="none"/>
          <w:lang w:val="en-US" w:eastAsia="zh-CN"/>
        </w:rPr>
        <w:t>处方</w:t>
      </w:r>
      <w:r>
        <w:rPr>
          <w:rFonts w:hint="eastAsia" w:ascii="宋体" w:hAnsi="宋体" w:eastAsia="宋体" w:cs="Times New Roman"/>
          <w:highlight w:val="none"/>
        </w:rPr>
        <w:t>质量检查、考核和评价，判断质量指标的完成情况，提出改进措施。</w:t>
      </w:r>
    </w:p>
    <w:p>
      <w:pPr>
        <w:pStyle w:val="96"/>
        <w:keepNext w:val="0"/>
        <w:keepLines w:val="0"/>
        <w:pageBreakBefore w:val="0"/>
        <w:numPr>
          <w:ilvl w:val="4"/>
          <w:numId w:val="0"/>
        </w:numPr>
        <w:kinsoku/>
        <w:wordWrap/>
        <w:overflowPunct/>
        <w:topLinePunct w:val="0"/>
        <w:bidi w:val="0"/>
        <w:spacing w:before="0" w:beforeLines="0" w:after="0" w:afterLines="0" w:line="240" w:lineRule="auto"/>
        <w:ind w:right="0" w:rightChars="0" w:firstLine="420" w:firstLineChars="200"/>
        <w:rPr>
          <w:rFonts w:hint="eastAsia" w:ascii="宋体" w:hAnsi="宋体" w:eastAsia="宋体" w:cs="Times New Roman"/>
          <w:highlight w:val="none"/>
        </w:rPr>
      </w:pPr>
      <w:r>
        <w:rPr>
          <w:rFonts w:hint="eastAsia" w:ascii="宋体" w:hAnsi="宋体" w:eastAsia="宋体" w:cs="Times New Roman"/>
          <w:highlight w:val="none"/>
          <w:lang w:val="en-US" w:eastAsia="zh-CN"/>
        </w:rPr>
        <w:t xml:space="preserve">5.1.2.10 </w:t>
      </w:r>
      <w:r>
        <w:rPr>
          <w:rFonts w:hint="eastAsia" w:ascii="宋体" w:hAnsi="宋体" w:eastAsia="宋体" w:cs="Times New Roman"/>
          <w:highlight w:val="none"/>
        </w:rPr>
        <w:t>每季度召开本中心</w:t>
      </w:r>
      <w:r>
        <w:rPr>
          <w:rFonts w:hint="eastAsia" w:ascii="宋体" w:hAnsi="宋体" w:eastAsia="宋体" w:cs="Times New Roman"/>
          <w:highlight w:val="none"/>
          <w:lang w:val="en-US" w:eastAsia="zh-CN"/>
        </w:rPr>
        <w:t>处方审核</w:t>
      </w:r>
      <w:r>
        <w:rPr>
          <w:rFonts w:hint="eastAsia" w:ascii="宋体" w:hAnsi="宋体" w:eastAsia="宋体" w:cs="Times New Roman"/>
          <w:highlight w:val="none"/>
        </w:rPr>
        <w:t>质量汇总分析评议会，并对</w:t>
      </w:r>
      <w:r>
        <w:rPr>
          <w:rFonts w:hint="eastAsia" w:ascii="宋体" w:hAnsi="宋体" w:eastAsia="宋体" w:cs="Times New Roman"/>
          <w:highlight w:val="none"/>
          <w:lang w:val="en-US" w:eastAsia="zh-CN"/>
        </w:rPr>
        <w:t>医共体各成员单位处方</w:t>
      </w:r>
      <w:r>
        <w:rPr>
          <w:rFonts w:hint="eastAsia" w:ascii="宋体" w:hAnsi="宋体" w:eastAsia="宋体" w:cs="Times New Roman"/>
          <w:highlight w:val="none"/>
        </w:rPr>
        <w:t>质量、</w:t>
      </w:r>
      <w:r>
        <w:rPr>
          <w:rFonts w:hint="eastAsia" w:ascii="宋体" w:hAnsi="宋体" w:eastAsia="宋体" w:cs="Times New Roman"/>
          <w:highlight w:val="none"/>
          <w:lang w:val="en-US" w:eastAsia="zh-CN"/>
        </w:rPr>
        <w:t>合理用药</w:t>
      </w:r>
      <w:r>
        <w:rPr>
          <w:rFonts w:hint="eastAsia" w:ascii="宋体" w:hAnsi="宋体" w:eastAsia="宋体" w:cs="Times New Roman"/>
          <w:highlight w:val="none"/>
        </w:rPr>
        <w:t>存在的问题进行通报。</w:t>
      </w:r>
    </w:p>
    <w:p>
      <w:pPr>
        <w:pStyle w:val="96"/>
        <w:keepNext w:val="0"/>
        <w:keepLines w:val="0"/>
        <w:pageBreakBefore w:val="0"/>
        <w:numPr>
          <w:ilvl w:val="4"/>
          <w:numId w:val="0"/>
        </w:numPr>
        <w:kinsoku/>
        <w:wordWrap/>
        <w:overflowPunct/>
        <w:topLinePunct w:val="0"/>
        <w:bidi w:val="0"/>
        <w:spacing w:before="0" w:beforeLines="0" w:after="0" w:afterLines="0" w:line="240" w:lineRule="auto"/>
        <w:ind w:right="0" w:rightChars="0" w:firstLine="420" w:firstLineChars="200"/>
        <w:rPr>
          <w:rFonts w:ascii="宋体" w:hAnsi="宋体" w:eastAsia="宋体"/>
        </w:rPr>
      </w:pPr>
      <w:r>
        <w:rPr>
          <w:rFonts w:hint="eastAsia" w:ascii="宋体" w:hAnsi="宋体" w:eastAsia="宋体"/>
          <w:lang w:val="en-US" w:eastAsia="zh-CN"/>
        </w:rPr>
        <w:t xml:space="preserve">5.1.2.11 </w:t>
      </w:r>
      <w:r>
        <w:rPr>
          <w:rFonts w:ascii="宋体" w:hAnsi="宋体" w:eastAsia="宋体"/>
        </w:rPr>
        <w:t>定期</w:t>
      </w:r>
      <w:r>
        <w:rPr>
          <w:rFonts w:hint="eastAsia" w:ascii="宋体" w:hAnsi="宋体" w:eastAsia="宋体"/>
          <w:lang w:val="en-US" w:eastAsia="zh-CN"/>
        </w:rPr>
        <w:t>收集</w:t>
      </w:r>
      <w:r>
        <w:rPr>
          <w:rFonts w:hint="eastAsia" w:ascii="宋体" w:hAnsi="宋体" w:eastAsia="宋体"/>
        </w:rPr>
        <w:t>各基层单位的</w:t>
      </w:r>
      <w:r>
        <w:rPr>
          <w:rFonts w:ascii="宋体" w:hAnsi="宋体" w:eastAsia="宋体"/>
        </w:rPr>
        <w:t>合理化</w:t>
      </w:r>
      <w:r>
        <w:rPr>
          <w:rFonts w:hint="eastAsia" w:ascii="宋体" w:hAnsi="宋体" w:eastAsia="宋体"/>
        </w:rPr>
        <w:t>建议</w:t>
      </w:r>
      <w:r>
        <w:rPr>
          <w:rFonts w:ascii="宋体" w:hAnsi="宋体" w:eastAsia="宋体"/>
        </w:rPr>
        <w:t>，不</w:t>
      </w:r>
      <w:r>
        <w:rPr>
          <w:rFonts w:hint="eastAsia" w:ascii="宋体" w:hAnsi="宋体" w:eastAsia="宋体"/>
        </w:rPr>
        <w:t>断</w:t>
      </w:r>
      <w:r>
        <w:rPr>
          <w:rFonts w:hint="eastAsia" w:ascii="宋体" w:hAnsi="宋体" w:eastAsia="宋体"/>
          <w:lang w:val="en-US" w:eastAsia="zh-CN"/>
        </w:rPr>
        <w:t>提升合理用药水平</w:t>
      </w:r>
      <w:r>
        <w:rPr>
          <w:rFonts w:ascii="宋体" w:hAnsi="宋体" w:eastAsia="宋体"/>
        </w:rPr>
        <w:t>。</w:t>
      </w:r>
    </w:p>
    <w:p>
      <w:pPr>
        <w:pStyle w:val="58"/>
        <w:ind w:left="0" w:leftChars="0" w:firstLine="0" w:firstLineChars="0"/>
        <w:rPr>
          <w:rFonts w:hint="eastAsia" w:ascii="宋体" w:hAnsi="宋体" w:eastAsia="宋体"/>
        </w:rPr>
      </w:pPr>
    </w:p>
    <w:p>
      <w:pPr>
        <w:pStyle w:val="67"/>
        <w:numPr>
          <w:ilvl w:val="3"/>
          <w:numId w:val="0"/>
        </w:numPr>
        <w:spacing w:before="156" w:after="156"/>
        <w:ind w:leftChars="0"/>
        <w:rPr>
          <w:rFonts w:hint="default" w:hAnsi="Times New Roman" w:cs="Times New Roman"/>
          <w:lang w:val="en-US" w:eastAsia="zh-CN"/>
        </w:rPr>
      </w:pPr>
      <w:bookmarkStart w:id="127" w:name="_Toc164325744"/>
      <w:r>
        <w:rPr>
          <w:rFonts w:hint="eastAsia" w:hAnsi="Times New Roman" w:cs="Times New Roman"/>
          <w:lang w:val="en-US" w:eastAsia="zh-CN"/>
        </w:rPr>
        <w:t>5.1.3质量管理</w:t>
      </w:r>
      <w:bookmarkEnd w:id="127"/>
      <w:bookmarkStart w:id="160" w:name="_GoBack"/>
      <w:bookmarkEnd w:id="160"/>
      <w:r>
        <w:rPr>
          <w:rFonts w:hint="eastAsia" w:hAnsi="Times New Roman" w:cs="Times New Roman"/>
          <w:lang w:val="en-US" w:eastAsia="zh-CN"/>
        </w:rPr>
        <w:t>制度</w:t>
      </w:r>
    </w:p>
    <w:p>
      <w:pPr>
        <w:pStyle w:val="96"/>
        <w:keepNext w:val="0"/>
        <w:keepLines w:val="0"/>
        <w:pageBreakBefore w:val="0"/>
        <w:numPr>
          <w:ilvl w:val="4"/>
          <w:numId w:val="0"/>
        </w:numPr>
        <w:kinsoku/>
        <w:wordWrap/>
        <w:overflowPunct/>
        <w:topLinePunct w:val="0"/>
        <w:bidi w:val="0"/>
        <w:spacing w:before="0" w:beforeLines="0" w:after="0" w:afterLines="0" w:line="240" w:lineRule="auto"/>
        <w:ind w:right="0" w:rightChars="0" w:firstLine="420" w:firstLineChars="200"/>
        <w:rPr>
          <w:rFonts w:hint="eastAsia" w:ascii="宋体" w:hAnsi="宋体" w:eastAsia="宋体" w:cs="Times New Roman"/>
          <w:highlight w:val="none"/>
        </w:rPr>
      </w:pPr>
      <w:r>
        <w:rPr>
          <w:rFonts w:hint="eastAsia" w:ascii="宋体" w:hAnsi="宋体" w:eastAsia="宋体" w:cs="Times New Roman"/>
          <w:lang w:val="en-US" w:eastAsia="zh-CN"/>
        </w:rPr>
        <w:t>5.1.3.1 县级（区域）集中审方</w:t>
      </w:r>
      <w:r>
        <w:rPr>
          <w:rFonts w:hint="eastAsia" w:ascii="宋体" w:hAnsi="宋体" w:eastAsia="宋体" w:cs="Times New Roman"/>
        </w:rPr>
        <w:t>中心设立处方</w:t>
      </w:r>
      <w:r>
        <w:rPr>
          <w:rFonts w:hint="eastAsia" w:ascii="宋体" w:hAnsi="宋体" w:eastAsia="宋体" w:cs="Times New Roman"/>
          <w:highlight w:val="none"/>
        </w:rPr>
        <w:t>审核质量管理小组</w:t>
      </w:r>
      <w:r>
        <w:rPr>
          <w:rFonts w:hint="eastAsia" w:ascii="宋体" w:hAnsi="宋体" w:eastAsia="宋体" w:cs="Times New Roman"/>
          <w:highlight w:val="none"/>
          <w:lang w:eastAsia="zh-CN"/>
        </w:rPr>
        <w:t>，</w:t>
      </w:r>
      <w:r>
        <w:rPr>
          <w:rFonts w:hint="eastAsia" w:ascii="宋体" w:hAnsi="宋体" w:eastAsia="宋体" w:cs="Times New Roman"/>
          <w:highlight w:val="none"/>
        </w:rPr>
        <w:t>指定专（兼）职人员定期对审方中心处方审核质量开展监测与评价，包括对</w:t>
      </w:r>
      <w:r>
        <w:rPr>
          <w:rFonts w:hint="eastAsia" w:ascii="宋体" w:hAnsi="宋体" w:eastAsia="宋体" w:cs="Times New Roman"/>
          <w:highlight w:val="none"/>
          <w:lang w:val="en-US" w:eastAsia="zh-CN"/>
        </w:rPr>
        <w:t>审方</w:t>
      </w:r>
      <w:r>
        <w:rPr>
          <w:rFonts w:hint="eastAsia" w:ascii="宋体" w:hAnsi="宋体" w:eastAsia="宋体" w:cs="Times New Roman"/>
          <w:highlight w:val="none"/>
        </w:rPr>
        <w:t>系统审核的处方进行抽查，发现问题</w:t>
      </w:r>
      <w:r>
        <w:rPr>
          <w:rFonts w:hint="eastAsia" w:ascii="宋体" w:hAnsi="宋体" w:eastAsia="宋体" w:cs="Times New Roman"/>
          <w:highlight w:val="none"/>
          <w:lang w:val="en-US" w:eastAsia="zh-CN"/>
        </w:rPr>
        <w:t>需</w:t>
      </w:r>
      <w:r>
        <w:rPr>
          <w:rFonts w:hint="eastAsia" w:ascii="宋体" w:hAnsi="宋体" w:eastAsia="宋体" w:cs="Times New Roman"/>
          <w:highlight w:val="none"/>
        </w:rPr>
        <w:t>及时改进。</w:t>
      </w:r>
    </w:p>
    <w:p>
      <w:pPr>
        <w:pStyle w:val="96"/>
        <w:keepNext w:val="0"/>
        <w:keepLines w:val="0"/>
        <w:pageBreakBefore w:val="0"/>
        <w:numPr>
          <w:ilvl w:val="4"/>
          <w:numId w:val="0"/>
        </w:numPr>
        <w:kinsoku/>
        <w:wordWrap/>
        <w:overflowPunct/>
        <w:topLinePunct w:val="0"/>
        <w:bidi w:val="0"/>
        <w:spacing w:before="0" w:beforeLines="0" w:after="0" w:afterLines="0" w:line="240" w:lineRule="auto"/>
        <w:ind w:right="0" w:rightChars="0" w:firstLine="420" w:firstLineChars="200"/>
        <w:rPr>
          <w:rFonts w:hint="eastAsia" w:ascii="宋体" w:hAnsi="宋体" w:eastAsia="宋体" w:cs="Times New Roman"/>
          <w:highlight w:val="none"/>
        </w:rPr>
      </w:pPr>
      <w:r>
        <w:rPr>
          <w:rFonts w:hint="eastAsia" w:ascii="宋体" w:hAnsi="宋体" w:eastAsia="宋体" w:cs="Times New Roman"/>
          <w:highlight w:val="none"/>
          <w:lang w:val="en-US" w:eastAsia="zh-CN"/>
        </w:rPr>
        <w:t xml:space="preserve">5.1.3.2 </w:t>
      </w:r>
      <w:r>
        <w:rPr>
          <w:rFonts w:hint="eastAsia" w:ascii="宋体" w:hAnsi="宋体" w:eastAsia="宋体" w:cs="Times New Roman"/>
          <w:highlight w:val="none"/>
        </w:rPr>
        <w:t>建立并实施处方审核全过程质量管理机制</w:t>
      </w:r>
      <w:r>
        <w:rPr>
          <w:rFonts w:hint="eastAsia" w:ascii="宋体" w:hAnsi="宋体" w:eastAsia="宋体" w:cs="Times New Roman"/>
          <w:highlight w:val="none"/>
          <w:lang w:eastAsia="zh-CN"/>
        </w:rPr>
        <w:t>，</w:t>
      </w:r>
      <w:r>
        <w:rPr>
          <w:rFonts w:hint="eastAsia" w:ascii="宋体" w:hAnsi="宋体" w:eastAsia="宋体" w:cs="Times New Roman"/>
          <w:highlight w:val="none"/>
          <w:lang w:val="en-US" w:eastAsia="zh-CN"/>
        </w:rPr>
        <w:t>确保处方审核行为的可追溯性、规范性、合理性，提高处方审核的质量和效率，促进临床合理用药。</w:t>
      </w:r>
    </w:p>
    <w:p>
      <w:pPr>
        <w:pStyle w:val="96"/>
        <w:keepNext w:val="0"/>
        <w:keepLines w:val="0"/>
        <w:pageBreakBefore w:val="0"/>
        <w:numPr>
          <w:ilvl w:val="4"/>
          <w:numId w:val="0"/>
        </w:numPr>
        <w:kinsoku/>
        <w:wordWrap/>
        <w:overflowPunct/>
        <w:topLinePunct w:val="0"/>
        <w:bidi w:val="0"/>
        <w:spacing w:before="0" w:beforeLines="0" w:after="0" w:afterLines="0" w:line="240" w:lineRule="auto"/>
        <w:ind w:right="0" w:rightChars="0" w:firstLine="420" w:firstLineChars="200"/>
        <w:rPr>
          <w:rFonts w:ascii="宋体" w:hAnsi="宋体" w:eastAsia="宋体" w:cs="Times New Roman"/>
        </w:rPr>
      </w:pPr>
      <w:r>
        <w:rPr>
          <w:rFonts w:hint="eastAsia" w:ascii="宋体" w:hAnsi="宋体" w:eastAsia="宋体" w:cs="Times New Roman"/>
          <w:highlight w:val="none"/>
          <w:lang w:val="en-US" w:eastAsia="zh-CN"/>
        </w:rPr>
        <w:t xml:space="preserve">5.1.3.3 </w:t>
      </w:r>
      <w:r>
        <w:rPr>
          <w:rFonts w:hint="eastAsia" w:ascii="宋体" w:hAnsi="宋体" w:eastAsia="宋体" w:cs="Times New Roman"/>
          <w:highlight w:val="none"/>
        </w:rPr>
        <w:t>建立处方审核质量监测指标体系，对处方审核的</w:t>
      </w:r>
      <w:r>
        <w:rPr>
          <w:rFonts w:hint="eastAsia" w:ascii="宋体" w:hAnsi="宋体" w:eastAsia="宋体" w:cs="Times New Roman"/>
        </w:rPr>
        <w:t>数量、质量、效率和效果等进行评价</w:t>
      </w:r>
      <w:r>
        <w:rPr>
          <w:rFonts w:hint="eastAsia" w:ascii="宋体" w:hAnsi="宋体" w:eastAsia="宋体" w:cs="Times New Roman"/>
          <w:lang w:eastAsia="zh-CN"/>
        </w:rPr>
        <w:t>，</w:t>
      </w:r>
      <w:r>
        <w:rPr>
          <w:rFonts w:hint="eastAsia" w:ascii="宋体" w:hAnsi="宋体" w:eastAsia="宋体" w:cs="Times New Roman"/>
        </w:rPr>
        <w:t>至少包括处方审核率、处方干预率、处方合理率等。</w:t>
      </w:r>
    </w:p>
    <w:p>
      <w:pPr>
        <w:pStyle w:val="96"/>
        <w:keepNext w:val="0"/>
        <w:keepLines w:val="0"/>
        <w:pageBreakBefore w:val="0"/>
        <w:numPr>
          <w:ilvl w:val="4"/>
          <w:numId w:val="0"/>
        </w:numPr>
        <w:kinsoku/>
        <w:wordWrap/>
        <w:overflowPunct/>
        <w:topLinePunct w:val="0"/>
        <w:bidi w:val="0"/>
        <w:spacing w:before="0" w:beforeLines="0" w:after="0" w:afterLines="0" w:line="240" w:lineRule="auto"/>
        <w:ind w:right="0" w:rightChars="0" w:firstLine="420" w:firstLineChars="200"/>
        <w:rPr>
          <w:rFonts w:hint="eastAsia" w:ascii="宋体" w:hAnsi="宋体" w:eastAsia="宋体" w:cs="Times New Roman"/>
        </w:rPr>
      </w:pPr>
      <w:r>
        <w:rPr>
          <w:rFonts w:hint="eastAsia" w:ascii="宋体" w:hAnsi="宋体" w:eastAsia="宋体"/>
          <w:lang w:val="en-US" w:eastAsia="zh-CN"/>
        </w:rPr>
        <w:t xml:space="preserve">5.1.3.4 </w:t>
      </w:r>
      <w:r>
        <w:rPr>
          <w:rFonts w:hint="eastAsia" w:ascii="宋体" w:hAnsi="宋体" w:eastAsia="宋体"/>
        </w:rPr>
        <w:t>定期开展活动，每季度对医疗质量进行监督检查，发现问题及时解决，完善质控报告，并将检查结果进行通报</w:t>
      </w:r>
      <w:r>
        <w:rPr>
          <w:rFonts w:hint="eastAsia" w:ascii="宋体" w:hAnsi="宋体" w:eastAsia="宋体"/>
          <w:lang w:eastAsia="zh-CN"/>
        </w:rPr>
        <w:t>，</w:t>
      </w:r>
      <w:r>
        <w:rPr>
          <w:rFonts w:hint="eastAsia" w:ascii="宋体" w:hAnsi="宋体" w:eastAsia="宋体"/>
        </w:rPr>
        <w:t>上</w:t>
      </w:r>
      <w:r>
        <w:rPr>
          <w:rFonts w:hint="eastAsia" w:ascii="宋体" w:hAnsi="宋体" w:eastAsia="宋体" w:cs="Times New Roman"/>
          <w:lang w:val="en-US" w:eastAsia="zh-CN"/>
        </w:rPr>
        <w:t>报医共体办公室</w:t>
      </w:r>
      <w:r>
        <w:rPr>
          <w:rFonts w:hint="eastAsia" w:ascii="宋体" w:hAnsi="宋体" w:eastAsia="宋体" w:cs="Times New Roman"/>
          <w:lang w:eastAsia="zh-CN"/>
        </w:rPr>
        <w:t>。</w:t>
      </w:r>
    </w:p>
    <w:p>
      <w:pPr>
        <w:pStyle w:val="96"/>
        <w:keepNext w:val="0"/>
        <w:keepLines w:val="0"/>
        <w:pageBreakBefore w:val="0"/>
        <w:numPr>
          <w:ilvl w:val="4"/>
          <w:numId w:val="0"/>
        </w:numPr>
        <w:kinsoku/>
        <w:wordWrap/>
        <w:overflowPunct/>
        <w:topLinePunct w:val="0"/>
        <w:bidi w:val="0"/>
        <w:spacing w:before="0" w:beforeLines="0" w:after="0" w:afterLines="0" w:line="240" w:lineRule="auto"/>
        <w:ind w:right="0" w:rightChars="0" w:firstLine="420" w:firstLineChars="200"/>
        <w:rPr>
          <w:rFonts w:hint="eastAsia" w:ascii="宋体" w:hAnsi="宋体" w:eastAsia="宋体" w:cs="Times New Roman"/>
        </w:rPr>
      </w:pPr>
      <w:r>
        <w:rPr>
          <w:rFonts w:hint="eastAsia" w:ascii="宋体" w:hAnsi="宋体" w:eastAsia="宋体" w:cs="Times New Roman"/>
          <w:lang w:val="en-US" w:eastAsia="zh-CN"/>
        </w:rPr>
        <w:t xml:space="preserve">5.1.3.5 </w:t>
      </w:r>
      <w:r>
        <w:rPr>
          <w:rFonts w:hint="eastAsia" w:ascii="宋体" w:hAnsi="宋体" w:eastAsia="宋体" w:cs="Times New Roman"/>
        </w:rPr>
        <w:t>制定培训计划，应当组织对从事处方审核的药师进行定期培训和考核，不断提高审核药师的职业素质和业务水平</w:t>
      </w:r>
      <w:r>
        <w:rPr>
          <w:rFonts w:hint="eastAsia" w:ascii="宋体" w:hAnsi="宋体" w:eastAsia="宋体" w:cs="Times New Roman"/>
          <w:lang w:eastAsia="zh-CN"/>
        </w:rPr>
        <w:t>。</w:t>
      </w:r>
    </w:p>
    <w:p>
      <w:pPr>
        <w:pStyle w:val="96"/>
        <w:keepNext w:val="0"/>
        <w:keepLines w:val="0"/>
        <w:pageBreakBefore w:val="0"/>
        <w:numPr>
          <w:ilvl w:val="4"/>
          <w:numId w:val="0"/>
        </w:numPr>
        <w:kinsoku/>
        <w:wordWrap/>
        <w:overflowPunct/>
        <w:topLinePunct w:val="0"/>
        <w:bidi w:val="0"/>
        <w:spacing w:before="0" w:beforeLines="0" w:after="0" w:afterLines="0" w:line="240" w:lineRule="auto"/>
        <w:ind w:right="0" w:rightChars="0" w:firstLine="420" w:firstLineChars="200"/>
        <w:rPr>
          <w:rFonts w:hint="eastAsia" w:ascii="宋体" w:hAnsi="宋体" w:eastAsia="宋体" w:cs="Times New Roman"/>
          <w:lang w:val="en-US" w:eastAsia="zh-CN"/>
        </w:rPr>
      </w:pPr>
      <w:r>
        <w:rPr>
          <w:rFonts w:hint="eastAsia" w:ascii="宋体" w:hAnsi="宋体" w:eastAsia="宋体" w:cs="Times New Roman"/>
          <w:lang w:val="en-US" w:eastAsia="zh-CN"/>
        </w:rPr>
        <w:t>5.1.3.6 处方审核系统应当保证处方审核全过程可追溯，特别是针对关键流程的处理痕迹应当保存相应的记录，可在系统进行相关的统计分析。审方药师应定期分析处理结果，定期对规则库进行改进和完善。</w:t>
      </w:r>
    </w:p>
    <w:p>
      <w:pPr>
        <w:pStyle w:val="96"/>
        <w:keepNext w:val="0"/>
        <w:keepLines w:val="0"/>
        <w:pageBreakBefore w:val="0"/>
        <w:numPr>
          <w:ilvl w:val="4"/>
          <w:numId w:val="0"/>
        </w:numPr>
        <w:kinsoku/>
        <w:wordWrap/>
        <w:overflowPunct/>
        <w:topLinePunct w:val="0"/>
        <w:bidi w:val="0"/>
        <w:spacing w:before="0" w:beforeLines="0" w:after="0" w:afterLines="0" w:line="240" w:lineRule="auto"/>
        <w:ind w:right="0" w:rightChars="0" w:firstLine="420" w:firstLineChars="200"/>
        <w:rPr>
          <w:rFonts w:hint="eastAsia" w:ascii="宋体" w:hAnsi="宋体" w:eastAsia="宋体" w:cs="Times New Roman"/>
          <w:lang w:val="en-US" w:eastAsia="zh-CN"/>
        </w:rPr>
      </w:pPr>
      <w:r>
        <w:rPr>
          <w:rFonts w:hint="eastAsia" w:ascii="宋体" w:hAnsi="宋体" w:eastAsia="宋体" w:cs="Times New Roman"/>
          <w:lang w:val="en-US" w:eastAsia="zh-CN"/>
        </w:rPr>
        <w:t>5.1.3.7 建立不合理处方的反馈机制，并有相应的记录。审方药师应当定期将普遍性和特殊性的问题进行总结分析，优化处方审核的工作流程，提高工作效率。处方医师、医疗机构的药师应当定期将发现的问题反馈给中心，完善规则设定，促进处方审核系统的持续改进。</w:t>
      </w:r>
    </w:p>
    <w:p>
      <w:pPr>
        <w:pStyle w:val="96"/>
        <w:keepNext w:val="0"/>
        <w:keepLines w:val="0"/>
        <w:pageBreakBefore w:val="0"/>
        <w:numPr>
          <w:ilvl w:val="4"/>
          <w:numId w:val="0"/>
        </w:numPr>
        <w:kinsoku/>
        <w:wordWrap/>
        <w:overflowPunct/>
        <w:topLinePunct w:val="0"/>
        <w:bidi w:val="0"/>
        <w:spacing w:before="0" w:beforeLines="0" w:after="0" w:afterLines="0" w:line="240" w:lineRule="auto"/>
        <w:ind w:right="0" w:rightChars="0" w:firstLine="420" w:firstLineChars="200"/>
        <w:rPr>
          <w:rFonts w:hint="eastAsia" w:ascii="宋体" w:hAnsi="宋体" w:eastAsia="宋体" w:cs="Times New Roman"/>
          <w:lang w:val="en-US" w:eastAsia="zh-CN"/>
        </w:rPr>
      </w:pPr>
      <w:r>
        <w:rPr>
          <w:rFonts w:hint="eastAsia" w:ascii="宋体" w:hAnsi="宋体" w:eastAsia="宋体" w:cs="Times New Roman"/>
          <w:lang w:val="en-US" w:eastAsia="zh-CN"/>
        </w:rPr>
        <w:t>5.1.3.8 针对处方审核中出现的具体问题，建立质量改进机制，并有相应的改进措施与记录。有条件的情况下，运用质量管理工具进行持续改进。</w:t>
      </w:r>
    </w:p>
    <w:p>
      <w:pPr>
        <w:pStyle w:val="96"/>
        <w:keepNext w:val="0"/>
        <w:keepLines w:val="0"/>
        <w:pageBreakBefore w:val="0"/>
        <w:numPr>
          <w:ilvl w:val="4"/>
          <w:numId w:val="0"/>
        </w:numPr>
        <w:kinsoku/>
        <w:wordWrap/>
        <w:overflowPunct/>
        <w:topLinePunct w:val="0"/>
        <w:bidi w:val="0"/>
        <w:spacing w:before="0" w:beforeLines="0" w:after="0" w:afterLines="0" w:line="240" w:lineRule="auto"/>
        <w:ind w:right="0" w:rightChars="0" w:firstLine="420" w:firstLineChars="200"/>
        <w:rPr>
          <w:rFonts w:hint="eastAsia" w:ascii="宋体" w:hAnsi="宋体" w:eastAsia="宋体"/>
        </w:rPr>
      </w:pPr>
      <w:r>
        <w:rPr>
          <w:rFonts w:hint="eastAsia" w:ascii="宋体" w:hAnsi="宋体" w:eastAsia="宋体" w:cs="Times New Roman"/>
          <w:lang w:val="en-US" w:eastAsia="zh-CN"/>
        </w:rPr>
        <w:t>5.1.3.9 设立处方审核质量监控指标，包括处方审核率、处方干预率、处方合格率等，对处方审核的数量、质量、效率和效果等进行评价，每半年评估一次。</w:t>
      </w:r>
    </w:p>
    <w:p>
      <w:pPr>
        <w:keepNext w:val="0"/>
        <w:keepLines w:val="0"/>
        <w:pageBreakBefore w:val="0"/>
        <w:widowControl/>
        <w:suppressLineNumbers w:val="0"/>
        <w:kinsoku/>
        <w:wordWrap/>
        <w:overflowPunct/>
        <w:topLinePunct w:val="0"/>
        <w:bidi w:val="0"/>
        <w:spacing w:line="240" w:lineRule="auto"/>
        <w:ind w:left="0" w:right="0" w:firstLine="420" w:firstLineChars="200"/>
        <w:jc w:val="left"/>
        <w:rPr>
          <w:rFonts w:hint="eastAsia" w:ascii="Times New Roman" w:hAnsi="Times New Roman" w:cs="Times New Roman"/>
          <w:color w:val="000000"/>
          <w:kern w:val="0"/>
          <w:sz w:val="21"/>
          <w:szCs w:val="21"/>
          <w:lang w:val="en-US" w:eastAsia="zh-CN" w:bidi="ar"/>
        </w:rPr>
      </w:pPr>
    </w:p>
    <w:p>
      <w:pPr>
        <w:pStyle w:val="67"/>
        <w:numPr>
          <w:ilvl w:val="3"/>
          <w:numId w:val="0"/>
        </w:numPr>
        <w:spacing w:before="156" w:after="156"/>
        <w:ind w:leftChars="0"/>
        <w:rPr>
          <w:rFonts w:hint="eastAsia" w:hAnsi="Times New Roman" w:cs="Times New Roman"/>
          <w:lang w:val="en-US" w:eastAsia="zh-CN"/>
        </w:rPr>
      </w:pPr>
      <w:r>
        <w:rPr>
          <w:rFonts w:hint="eastAsia" w:hAnsi="Times New Roman" w:cs="Times New Roman"/>
          <w:lang w:val="en-US" w:eastAsia="zh-CN"/>
        </w:rPr>
        <w:t>5</w:t>
      </w:r>
      <w:r>
        <w:rPr>
          <w:rFonts w:hint="default" w:hAnsi="Times New Roman" w:cs="Times New Roman"/>
          <w:lang w:val="en-US" w:eastAsia="zh-CN"/>
        </w:rPr>
        <w:t>.</w:t>
      </w:r>
      <w:r>
        <w:rPr>
          <w:rFonts w:hint="eastAsia" w:hAnsi="Times New Roman" w:cs="Times New Roman"/>
          <w:lang w:val="en-US" w:eastAsia="zh-CN"/>
        </w:rPr>
        <w:t>2</w:t>
      </w:r>
      <w:r>
        <w:rPr>
          <w:rFonts w:hint="default" w:hAnsi="Times New Roman" w:cs="Times New Roman"/>
          <w:lang w:val="en-US" w:eastAsia="zh-CN"/>
        </w:rPr>
        <w:t xml:space="preserve"> </w:t>
      </w:r>
      <w:r>
        <w:rPr>
          <w:rFonts w:hint="eastAsia" w:hAnsi="Times New Roman" w:cs="Times New Roman"/>
          <w:lang w:val="en-US" w:eastAsia="zh-CN"/>
        </w:rPr>
        <w:t xml:space="preserve">规则库建立 </w:t>
      </w:r>
    </w:p>
    <w:p>
      <w:pPr>
        <w:pStyle w:val="67"/>
        <w:numPr>
          <w:ilvl w:val="3"/>
          <w:numId w:val="0"/>
        </w:numPr>
        <w:spacing w:before="156" w:after="156"/>
        <w:ind w:leftChars="0"/>
        <w:rPr>
          <w:rFonts w:hint="eastAsia" w:hAnsi="Times New Roman" w:cs="Times New Roman"/>
          <w:lang w:val="en-US" w:eastAsia="zh-CN"/>
        </w:rPr>
      </w:pPr>
      <w:r>
        <w:rPr>
          <w:rFonts w:hint="eastAsia" w:hAnsi="Times New Roman" w:cs="Times New Roman"/>
          <w:lang w:val="en-US" w:eastAsia="zh-CN"/>
        </w:rPr>
        <w:t>5</w:t>
      </w:r>
      <w:r>
        <w:rPr>
          <w:rFonts w:hint="default" w:hAnsi="Times New Roman" w:cs="Times New Roman"/>
          <w:lang w:val="en-US" w:eastAsia="zh-CN"/>
        </w:rPr>
        <w:t>.</w:t>
      </w:r>
      <w:r>
        <w:rPr>
          <w:rFonts w:hint="eastAsia" w:hAnsi="Times New Roman" w:cs="Times New Roman"/>
          <w:lang w:val="en-US" w:eastAsia="zh-CN"/>
        </w:rPr>
        <w:t>2.</w:t>
      </w:r>
      <w:r>
        <w:rPr>
          <w:rFonts w:hint="default" w:hAnsi="Times New Roman" w:cs="Times New Roman"/>
          <w:lang w:val="en-US" w:eastAsia="zh-CN"/>
        </w:rPr>
        <w:t xml:space="preserve">1 </w:t>
      </w:r>
      <w:r>
        <w:rPr>
          <w:rFonts w:hint="eastAsia" w:hAnsi="Times New Roman" w:cs="Times New Roman"/>
          <w:lang w:val="en-US" w:eastAsia="zh-CN"/>
        </w:rPr>
        <w:t>必需的患者临床信息</w:t>
      </w:r>
    </w:p>
    <w:p>
      <w:pPr>
        <w:pStyle w:val="96"/>
        <w:keepNext w:val="0"/>
        <w:keepLines w:val="0"/>
        <w:pageBreakBefore w:val="0"/>
        <w:numPr>
          <w:ilvl w:val="4"/>
          <w:numId w:val="0"/>
        </w:numPr>
        <w:kinsoku/>
        <w:wordWrap/>
        <w:overflowPunct/>
        <w:topLinePunct w:val="0"/>
        <w:bidi w:val="0"/>
        <w:spacing w:before="0" w:beforeLines="0" w:after="0" w:afterLines="0" w:line="240" w:lineRule="auto"/>
        <w:ind w:right="0" w:rightChars="0" w:firstLine="420" w:firstLineChars="200"/>
        <w:rPr>
          <w:rFonts w:hint="eastAsia" w:ascii="宋体" w:hAnsi="宋体" w:eastAsia="宋体" w:cs="Times New Roman"/>
        </w:rPr>
      </w:pPr>
      <w:r>
        <w:rPr>
          <w:rFonts w:hint="eastAsia" w:ascii="宋体" w:hAnsi="宋体" w:eastAsia="宋体" w:cs="Times New Roman"/>
          <w:lang w:val="en-US" w:eastAsia="zh-CN"/>
        </w:rPr>
        <w:t>必需的患者临床信息是处方审核的必要条件。处方审核系统需要对患者基本信息、入院信息、诊断、处方信息、检验、检查、现病史、既往史、生命体征、过敏史、女性患者妊娠</w:t>
      </w:r>
      <w:r>
        <w:rPr>
          <w:rFonts w:hint="default" w:ascii="宋体" w:hAnsi="宋体" w:eastAsia="宋体" w:cs="Times New Roman"/>
          <w:lang w:val="en-US" w:eastAsia="zh-CN"/>
        </w:rPr>
        <w:t>/</w:t>
      </w:r>
      <w:r>
        <w:rPr>
          <w:rFonts w:hint="eastAsia" w:ascii="宋体" w:hAnsi="宋体" w:eastAsia="宋体" w:cs="Times New Roman"/>
          <w:lang w:val="en-US" w:eastAsia="zh-CN"/>
        </w:rPr>
        <w:t>哺乳</w:t>
      </w:r>
      <w:r>
        <w:rPr>
          <w:rFonts w:hint="default" w:ascii="宋体" w:hAnsi="宋体" w:eastAsia="宋体" w:cs="Times New Roman"/>
          <w:lang w:val="en-US" w:eastAsia="zh-CN"/>
        </w:rPr>
        <w:t>/</w:t>
      </w:r>
      <w:r>
        <w:rPr>
          <w:rFonts w:hint="eastAsia" w:ascii="宋体" w:hAnsi="宋体" w:eastAsia="宋体" w:cs="Times New Roman"/>
          <w:lang w:val="en-US" w:eastAsia="zh-CN"/>
        </w:rPr>
        <w:t>备孕状态、是否透析、 静脉置管记录等数据进行有效整合，使得处方审核系统可进行智能审核或药师可进行人工审核。</w:t>
      </w:r>
    </w:p>
    <w:p>
      <w:pPr>
        <w:pStyle w:val="67"/>
        <w:numPr>
          <w:ilvl w:val="3"/>
          <w:numId w:val="0"/>
        </w:numPr>
        <w:spacing w:before="156" w:after="156"/>
        <w:ind w:leftChars="0"/>
        <w:rPr>
          <w:rFonts w:hint="default" w:hAnsi="Times New Roman" w:cs="Times New Roman"/>
          <w:lang w:val="en-US" w:eastAsia="zh-CN"/>
        </w:rPr>
      </w:pPr>
      <w:r>
        <w:rPr>
          <w:rFonts w:hint="eastAsia" w:hAnsi="Times New Roman" w:cs="Times New Roman"/>
          <w:lang w:val="en-US" w:eastAsia="zh-CN"/>
        </w:rPr>
        <w:t>5</w:t>
      </w:r>
      <w:r>
        <w:rPr>
          <w:rFonts w:hint="default" w:hAnsi="Times New Roman" w:cs="Times New Roman"/>
          <w:lang w:val="en-US" w:eastAsia="zh-CN"/>
        </w:rPr>
        <w:t>.</w:t>
      </w:r>
      <w:r>
        <w:rPr>
          <w:rFonts w:hint="eastAsia" w:hAnsi="Times New Roman" w:cs="Times New Roman"/>
          <w:lang w:val="en-US" w:eastAsia="zh-CN"/>
        </w:rPr>
        <w:t>2.2</w:t>
      </w:r>
      <w:r>
        <w:rPr>
          <w:rFonts w:hint="default" w:hAnsi="Times New Roman" w:cs="Times New Roman"/>
          <w:lang w:val="en-US" w:eastAsia="zh-CN"/>
        </w:rPr>
        <w:t xml:space="preserve"> 处方审核规则的循证资料 </w:t>
      </w:r>
    </w:p>
    <w:p>
      <w:pPr>
        <w:pStyle w:val="96"/>
        <w:keepNext w:val="0"/>
        <w:keepLines w:val="0"/>
        <w:pageBreakBefore w:val="0"/>
        <w:numPr>
          <w:ilvl w:val="4"/>
          <w:numId w:val="0"/>
        </w:numPr>
        <w:kinsoku/>
        <w:wordWrap/>
        <w:overflowPunct/>
        <w:topLinePunct w:val="0"/>
        <w:bidi w:val="0"/>
        <w:spacing w:before="0" w:beforeLines="0" w:after="0" w:afterLines="0" w:line="240" w:lineRule="auto"/>
        <w:ind w:right="0" w:rightChars="0" w:firstLine="420" w:firstLineChars="200"/>
        <w:rPr>
          <w:rFonts w:hint="eastAsia" w:ascii="宋体" w:hAnsi="宋体" w:eastAsia="宋体" w:cs="Times New Roman"/>
          <w:lang w:val="en-US" w:eastAsia="zh-CN"/>
        </w:rPr>
      </w:pPr>
      <w:r>
        <w:rPr>
          <w:rFonts w:hint="eastAsia" w:ascii="宋体" w:hAnsi="宋体" w:eastAsia="宋体" w:cs="Times New Roman"/>
          <w:lang w:val="en-US" w:eastAsia="zh-CN"/>
        </w:rPr>
        <w:t>制定处方审核规则主要参考的循证资料包括：药品说明书、临床诊疗规范、指南、国家处方集等。检索到的文献资料，应评估其循证级别。超说明书用药评估后执行牵头单位药事管理与治疗学委员会相关政策。</w:t>
      </w:r>
    </w:p>
    <w:p>
      <w:pPr>
        <w:keepNext w:val="0"/>
        <w:keepLines w:val="0"/>
        <w:pageBreakBefore w:val="0"/>
        <w:widowControl/>
        <w:suppressLineNumbers w:val="0"/>
        <w:kinsoku/>
        <w:wordWrap/>
        <w:overflowPunct/>
        <w:topLinePunct w:val="0"/>
        <w:bidi w:val="0"/>
        <w:spacing w:line="240" w:lineRule="auto"/>
        <w:ind w:left="0" w:right="0" w:firstLine="420" w:firstLineChars="200"/>
        <w:jc w:val="left"/>
        <w:rPr>
          <w:rFonts w:hint="eastAsia" w:ascii="Times New Roman" w:hAnsi="Times New Roman" w:cs="Times New Roman"/>
          <w:color w:val="000000"/>
          <w:kern w:val="0"/>
          <w:sz w:val="21"/>
          <w:szCs w:val="21"/>
          <w:lang w:val="en-US" w:eastAsia="zh-CN" w:bidi="ar"/>
        </w:rPr>
      </w:pPr>
    </w:p>
    <w:p>
      <w:pPr>
        <w:pStyle w:val="67"/>
        <w:numPr>
          <w:ilvl w:val="3"/>
          <w:numId w:val="0"/>
        </w:numPr>
        <w:spacing w:before="156" w:after="156"/>
        <w:ind w:leftChars="0"/>
        <w:rPr>
          <w:rFonts w:hint="eastAsia" w:hAnsi="Times New Roman" w:cs="Times New Roman"/>
          <w:lang w:val="en-US" w:eastAsia="zh-CN"/>
        </w:rPr>
      </w:pPr>
      <w:r>
        <w:rPr>
          <w:rFonts w:hint="eastAsia" w:hAnsi="Times New Roman" w:cs="Times New Roman"/>
          <w:lang w:val="en-US" w:eastAsia="zh-CN"/>
        </w:rPr>
        <w:t>5</w:t>
      </w:r>
      <w:r>
        <w:rPr>
          <w:rFonts w:hint="default" w:hAnsi="Times New Roman" w:cs="Times New Roman"/>
          <w:lang w:val="en-US" w:eastAsia="zh-CN"/>
        </w:rPr>
        <w:t>.</w:t>
      </w:r>
      <w:r>
        <w:rPr>
          <w:rFonts w:hint="eastAsia" w:hAnsi="Times New Roman" w:cs="Times New Roman"/>
          <w:lang w:val="en-US" w:eastAsia="zh-CN"/>
        </w:rPr>
        <w:t>3</w:t>
      </w:r>
      <w:r>
        <w:rPr>
          <w:rFonts w:hint="default" w:hAnsi="Times New Roman" w:cs="Times New Roman"/>
          <w:lang w:val="en-US" w:eastAsia="zh-CN"/>
        </w:rPr>
        <w:t xml:space="preserve"> </w:t>
      </w:r>
      <w:r>
        <w:rPr>
          <w:rFonts w:hint="eastAsia" w:hAnsi="Times New Roman" w:cs="Times New Roman"/>
          <w:lang w:val="en-US" w:eastAsia="zh-CN"/>
        </w:rPr>
        <w:t xml:space="preserve">规则库维护 </w:t>
      </w:r>
    </w:p>
    <w:p>
      <w:pPr>
        <w:pStyle w:val="67"/>
        <w:numPr>
          <w:ilvl w:val="3"/>
          <w:numId w:val="0"/>
        </w:numPr>
        <w:spacing w:before="156" w:after="156"/>
        <w:ind w:leftChars="0"/>
        <w:rPr>
          <w:rFonts w:hint="eastAsia" w:hAnsi="Times New Roman" w:cs="Times New Roman"/>
          <w:lang w:val="en-US" w:eastAsia="zh-CN"/>
        </w:rPr>
      </w:pPr>
      <w:r>
        <w:rPr>
          <w:rFonts w:hint="eastAsia" w:hAnsi="Times New Roman" w:cs="Times New Roman"/>
          <w:lang w:val="en-US" w:eastAsia="zh-CN"/>
        </w:rPr>
        <w:t>5</w:t>
      </w:r>
      <w:r>
        <w:rPr>
          <w:rFonts w:hint="default" w:hAnsi="Times New Roman" w:cs="Times New Roman"/>
          <w:lang w:val="en-US" w:eastAsia="zh-CN"/>
        </w:rPr>
        <w:t>.</w:t>
      </w:r>
      <w:r>
        <w:rPr>
          <w:rFonts w:hint="eastAsia" w:hAnsi="Times New Roman" w:cs="Times New Roman"/>
          <w:lang w:val="en-US" w:eastAsia="zh-CN"/>
        </w:rPr>
        <w:t>3.</w:t>
      </w:r>
      <w:r>
        <w:rPr>
          <w:rFonts w:hint="default" w:hAnsi="Times New Roman" w:cs="Times New Roman"/>
          <w:lang w:val="en-US" w:eastAsia="zh-CN"/>
        </w:rPr>
        <w:t xml:space="preserve">1 </w:t>
      </w:r>
      <w:r>
        <w:rPr>
          <w:rFonts w:hint="eastAsia" w:hAnsi="Times New Roman" w:cs="Times New Roman"/>
          <w:lang w:val="en-US" w:eastAsia="zh-CN"/>
        </w:rPr>
        <w:t xml:space="preserve">最新版药品说明书维护 </w:t>
      </w:r>
    </w:p>
    <w:p>
      <w:pPr>
        <w:keepNext w:val="0"/>
        <w:keepLines w:val="0"/>
        <w:pageBreakBefore w:val="0"/>
        <w:widowControl/>
        <w:suppressLineNumbers w:val="0"/>
        <w:kinsoku/>
        <w:wordWrap/>
        <w:overflowPunct/>
        <w:topLinePunct w:val="0"/>
        <w:bidi w:val="0"/>
        <w:spacing w:line="240" w:lineRule="auto"/>
        <w:ind w:left="0" w:right="0" w:firstLine="420" w:firstLineChars="200"/>
        <w:jc w:val="left"/>
      </w:pPr>
      <w:r>
        <w:rPr>
          <w:rFonts w:hint="eastAsia" w:ascii="宋体" w:hAnsi="宋体" w:eastAsia="宋体" w:cs="宋体"/>
          <w:color w:val="000000"/>
          <w:kern w:val="0"/>
          <w:sz w:val="21"/>
          <w:szCs w:val="21"/>
          <w:lang w:val="en-US" w:eastAsia="zh-CN" w:bidi="ar"/>
        </w:rPr>
        <w:t>当处方审核人员发现处方审核系统的规则与最新版的药品说明书（包括药品说明书中制剂、辅料、溶媒、</w:t>
      </w:r>
      <w:r>
        <w:rPr>
          <w:rFonts w:hint="default" w:ascii="Times New Roman" w:hAnsi="Times New Roman" w:eastAsia="宋体" w:cs="Times New Roman"/>
          <w:color w:val="000000"/>
          <w:kern w:val="0"/>
          <w:sz w:val="21"/>
          <w:szCs w:val="21"/>
          <w:lang w:val="en-US" w:eastAsia="zh-CN" w:bidi="ar"/>
        </w:rPr>
        <w:t>PH</w:t>
      </w:r>
      <w:r>
        <w:rPr>
          <w:rFonts w:hint="eastAsia" w:ascii="宋体" w:hAnsi="宋体" w:eastAsia="宋体" w:cs="宋体"/>
          <w:color w:val="000000"/>
          <w:kern w:val="0"/>
          <w:sz w:val="21"/>
          <w:szCs w:val="21"/>
          <w:lang w:val="en-US" w:eastAsia="zh-CN" w:bidi="ar"/>
        </w:rPr>
        <w:t>值等信息）不一致时，应及时按照最新版药品说明书更新处方审核系统中的相应规则。最新版药品说明书可在国家药品监督管理局官方网站的</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中国上市药品目录集</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 xml:space="preserve">中查询。 </w:t>
      </w:r>
    </w:p>
    <w:p>
      <w:pPr>
        <w:pStyle w:val="67"/>
        <w:numPr>
          <w:ilvl w:val="3"/>
          <w:numId w:val="0"/>
        </w:numPr>
        <w:spacing w:before="156" w:after="156"/>
        <w:ind w:leftChars="0"/>
        <w:rPr>
          <w:rFonts w:hint="eastAsia" w:hAnsi="Times New Roman" w:cs="Times New Roman"/>
          <w:lang w:val="en-US" w:eastAsia="zh-CN"/>
        </w:rPr>
      </w:pPr>
      <w:r>
        <w:rPr>
          <w:rFonts w:hint="eastAsia" w:hAnsi="Times New Roman" w:cs="Times New Roman"/>
          <w:lang w:val="en-US" w:eastAsia="zh-CN"/>
        </w:rPr>
        <w:t>5</w:t>
      </w:r>
      <w:r>
        <w:rPr>
          <w:rFonts w:hint="default" w:hAnsi="Times New Roman" w:cs="Times New Roman"/>
          <w:lang w:val="en-US" w:eastAsia="zh-CN"/>
        </w:rPr>
        <w:t>.</w:t>
      </w:r>
      <w:r>
        <w:rPr>
          <w:rFonts w:hint="eastAsia" w:hAnsi="Times New Roman" w:cs="Times New Roman"/>
          <w:lang w:val="en-US" w:eastAsia="zh-CN"/>
        </w:rPr>
        <w:t>3.</w:t>
      </w:r>
      <w:r>
        <w:rPr>
          <w:rFonts w:hint="default" w:hAnsi="Times New Roman" w:cs="Times New Roman"/>
          <w:lang w:val="en-US" w:eastAsia="zh-CN"/>
        </w:rPr>
        <w:t xml:space="preserve">2 </w:t>
      </w:r>
      <w:r>
        <w:rPr>
          <w:rFonts w:hint="eastAsia" w:hAnsi="Times New Roman" w:cs="Times New Roman"/>
          <w:lang w:val="en-US" w:eastAsia="zh-CN"/>
        </w:rPr>
        <w:t xml:space="preserve">自定义处方审核规则维护 </w:t>
      </w:r>
    </w:p>
    <w:p>
      <w:pPr>
        <w:keepNext w:val="0"/>
        <w:keepLines w:val="0"/>
        <w:pageBreakBefore w:val="0"/>
        <w:widowControl/>
        <w:suppressLineNumbers w:val="0"/>
        <w:kinsoku/>
        <w:wordWrap/>
        <w:overflowPunct/>
        <w:topLinePunct w:val="0"/>
        <w:bidi w:val="0"/>
        <w:spacing w:line="240" w:lineRule="auto"/>
        <w:ind w:left="0" w:right="0" w:firstLine="420" w:firstLineChars="200"/>
        <w:jc w:val="left"/>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自定义处方审核规则，即将</w:t>
      </w:r>
      <w:r>
        <w:rPr>
          <w:rFonts w:hint="eastAsia" w:ascii="宋体" w:hAnsi="宋体" w:cs="宋体"/>
          <w:color w:val="000000"/>
          <w:kern w:val="0"/>
          <w:sz w:val="21"/>
          <w:szCs w:val="21"/>
          <w:lang w:val="en-US" w:eastAsia="zh-CN" w:bidi="ar"/>
        </w:rPr>
        <w:t>医共体</w:t>
      </w:r>
      <w:r>
        <w:rPr>
          <w:rFonts w:hint="eastAsia" w:ascii="宋体" w:hAnsi="宋体" w:eastAsia="宋体" w:cs="宋体"/>
          <w:color w:val="000000"/>
          <w:kern w:val="0"/>
          <w:sz w:val="21"/>
          <w:szCs w:val="21"/>
          <w:lang w:val="en-US" w:eastAsia="zh-CN" w:bidi="ar"/>
        </w:rPr>
        <w:t>合理用药相关管理规定设置成处方审核规则。</w:t>
      </w:r>
      <w:r>
        <w:rPr>
          <w:rFonts w:hint="eastAsia" w:ascii="宋体" w:hAnsi="宋体" w:cs="宋体"/>
          <w:color w:val="000000"/>
          <w:kern w:val="0"/>
          <w:sz w:val="21"/>
          <w:szCs w:val="21"/>
          <w:lang w:val="en-US" w:eastAsia="zh-CN" w:bidi="ar"/>
        </w:rPr>
        <w:t>医共体</w:t>
      </w:r>
      <w:r>
        <w:rPr>
          <w:rFonts w:hint="eastAsia" w:ascii="宋体" w:hAnsi="宋体" w:eastAsia="宋体" w:cs="宋体"/>
          <w:color w:val="000000"/>
          <w:kern w:val="0"/>
          <w:sz w:val="22"/>
          <w:szCs w:val="22"/>
          <w:lang w:val="en-US" w:eastAsia="zh-CN" w:bidi="ar"/>
        </w:rPr>
        <w:t>各医疗机构可根据临床诊疗指南进行超说明书用</w:t>
      </w:r>
      <w:r>
        <w:rPr>
          <w:rFonts w:hint="eastAsia" w:ascii="宋体" w:hAnsi="宋体" w:eastAsia="宋体" w:cs="宋体"/>
          <w:color w:val="000000"/>
          <w:kern w:val="0"/>
          <w:sz w:val="21"/>
          <w:szCs w:val="21"/>
          <w:lang w:val="en-US" w:eastAsia="zh-CN" w:bidi="ar"/>
        </w:rPr>
        <w:t>药备案，经医共体药事管理质控中心或牵头单位药事管理与治疗学委员会批准，并对审核规则进行维护。</w:t>
      </w:r>
    </w:p>
    <w:p>
      <w:pPr>
        <w:pStyle w:val="67"/>
        <w:numPr>
          <w:ilvl w:val="3"/>
          <w:numId w:val="0"/>
        </w:numPr>
        <w:spacing w:before="156" w:after="156"/>
        <w:ind w:leftChars="0"/>
        <w:rPr>
          <w:rFonts w:hint="eastAsia" w:hAnsi="Times New Roman" w:cs="Times New Roman"/>
          <w:lang w:val="en-US" w:eastAsia="zh-CN"/>
        </w:rPr>
      </w:pPr>
      <w:r>
        <w:rPr>
          <w:rFonts w:hint="eastAsia" w:hAnsi="Times New Roman" w:cs="Times New Roman"/>
          <w:lang w:val="en-US" w:eastAsia="zh-CN"/>
        </w:rPr>
        <w:t>5.3.</w:t>
      </w:r>
      <w:r>
        <w:rPr>
          <w:rFonts w:hint="default" w:hAnsi="Times New Roman" w:cs="Times New Roman"/>
          <w:lang w:val="en-US" w:eastAsia="zh-CN"/>
        </w:rPr>
        <w:t xml:space="preserve">3 </w:t>
      </w:r>
      <w:r>
        <w:rPr>
          <w:rFonts w:hint="eastAsia" w:hAnsi="Times New Roman" w:cs="Times New Roman"/>
          <w:lang w:val="en-US" w:eastAsia="zh-CN"/>
        </w:rPr>
        <w:t xml:space="preserve">警示级别升级 </w:t>
      </w:r>
    </w:p>
    <w:p>
      <w:pPr>
        <w:keepNext w:val="0"/>
        <w:keepLines w:val="0"/>
        <w:pageBreakBefore w:val="0"/>
        <w:widowControl/>
        <w:suppressLineNumbers w:val="0"/>
        <w:kinsoku/>
        <w:wordWrap/>
        <w:overflowPunct/>
        <w:topLinePunct w:val="0"/>
        <w:bidi w:val="0"/>
        <w:spacing w:line="240" w:lineRule="auto"/>
        <w:ind w:left="0" w:right="0" w:firstLine="420" w:firstLineChars="200"/>
        <w:jc w:val="left"/>
      </w:pPr>
      <w:r>
        <w:rPr>
          <w:rFonts w:hint="eastAsia" w:ascii="宋体" w:hAnsi="宋体" w:eastAsia="宋体" w:cs="宋体"/>
          <w:color w:val="000000"/>
          <w:kern w:val="0"/>
          <w:sz w:val="21"/>
          <w:szCs w:val="21"/>
          <w:lang w:val="en-US" w:eastAsia="zh-CN" w:bidi="ar"/>
        </w:rPr>
        <w:t>可通过在处方审核系统中设置审核规则的</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禁用</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级别，使得医师开具禁用级别的处方，系统产生自动拦截，并予以</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禁用</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 xml:space="preserve">警示，医师必须修改处方，从而减少人工干预处方的数量，提高整体的处方审核效率。 </w:t>
      </w:r>
    </w:p>
    <w:p>
      <w:pPr>
        <w:keepNext w:val="0"/>
        <w:keepLines w:val="0"/>
        <w:pageBreakBefore w:val="0"/>
        <w:widowControl/>
        <w:suppressLineNumbers w:val="0"/>
        <w:kinsoku/>
        <w:wordWrap/>
        <w:overflowPunct/>
        <w:topLinePunct w:val="0"/>
        <w:bidi w:val="0"/>
        <w:spacing w:line="240" w:lineRule="auto"/>
        <w:ind w:left="0" w:right="0" w:firstLine="420" w:firstLineChars="200"/>
        <w:jc w:val="left"/>
        <w:rPr>
          <w:rFonts w:hint="eastAsia" w:ascii="Times New Roman" w:hAnsi="Times New Roman" w:cs="Times New Roman"/>
          <w:color w:val="000000"/>
          <w:kern w:val="0"/>
          <w:sz w:val="21"/>
          <w:szCs w:val="21"/>
          <w:lang w:val="en-US" w:eastAsia="zh-CN" w:bidi="ar"/>
        </w:rPr>
      </w:pPr>
    </w:p>
    <w:p>
      <w:pPr>
        <w:pStyle w:val="67"/>
        <w:numPr>
          <w:ilvl w:val="3"/>
          <w:numId w:val="0"/>
        </w:numPr>
        <w:spacing w:before="156" w:after="156"/>
        <w:ind w:leftChars="0"/>
        <w:rPr>
          <w:rFonts w:hint="default" w:hAnsi="Times New Roman" w:cs="Times New Roman"/>
          <w:lang w:val="en-US" w:eastAsia="zh-CN"/>
        </w:rPr>
      </w:pPr>
      <w:r>
        <w:rPr>
          <w:rFonts w:hint="eastAsia" w:hAnsi="Times New Roman" w:cs="Times New Roman"/>
          <w:lang w:val="en-US" w:eastAsia="zh-CN"/>
        </w:rPr>
        <w:t>5.</w:t>
      </w:r>
      <w:r>
        <w:rPr>
          <w:rFonts w:hint="default" w:hAnsi="Times New Roman" w:cs="Times New Roman"/>
          <w:lang w:val="en-US" w:eastAsia="zh-CN"/>
        </w:rPr>
        <w:t xml:space="preserve">4 </w:t>
      </w:r>
      <w:r>
        <w:rPr>
          <w:rFonts w:hint="eastAsia" w:hAnsi="Times New Roman" w:cs="Times New Roman"/>
          <w:lang w:val="en-US" w:eastAsia="zh-CN"/>
        </w:rPr>
        <w:t>处方审核规则</w:t>
      </w:r>
    </w:p>
    <w:p>
      <w:pPr>
        <w:pStyle w:val="67"/>
        <w:numPr>
          <w:ilvl w:val="3"/>
          <w:numId w:val="0"/>
        </w:numPr>
        <w:spacing w:before="156" w:after="156"/>
        <w:ind w:leftChars="0"/>
        <w:rPr>
          <w:rFonts w:hint="eastAsia" w:hAnsi="Times New Roman" w:cs="Times New Roman"/>
          <w:lang w:val="en-US" w:eastAsia="zh-CN"/>
        </w:rPr>
      </w:pPr>
      <w:r>
        <w:rPr>
          <w:rFonts w:hint="eastAsia" w:hAnsi="Times New Roman" w:cs="Times New Roman"/>
          <w:lang w:val="en-US" w:eastAsia="zh-CN"/>
        </w:rPr>
        <w:t>5.4</w:t>
      </w:r>
      <w:r>
        <w:rPr>
          <w:rFonts w:hint="default" w:hAnsi="Times New Roman" w:cs="Times New Roman"/>
          <w:lang w:val="en-US" w:eastAsia="zh-CN"/>
        </w:rPr>
        <w:t xml:space="preserve">.1 </w:t>
      </w:r>
      <w:r>
        <w:rPr>
          <w:rFonts w:hint="eastAsia" w:hAnsi="Times New Roman" w:cs="Times New Roman"/>
          <w:lang w:val="en-US" w:eastAsia="zh-CN"/>
        </w:rPr>
        <w:t xml:space="preserve">药物适应证审核 </w:t>
      </w:r>
    </w:p>
    <w:p>
      <w:pPr>
        <w:keepNext w:val="0"/>
        <w:keepLines w:val="0"/>
        <w:pageBreakBefore w:val="0"/>
        <w:widowControl/>
        <w:suppressLineNumbers w:val="0"/>
        <w:kinsoku/>
        <w:wordWrap/>
        <w:overflowPunct/>
        <w:topLinePunct w:val="0"/>
        <w:bidi w:val="0"/>
        <w:spacing w:line="240" w:lineRule="auto"/>
        <w:ind w:left="0" w:right="0" w:firstLine="420" w:firstLineChars="200"/>
        <w:jc w:val="left"/>
      </w:pPr>
      <w:r>
        <w:rPr>
          <w:rFonts w:hint="eastAsia" w:ascii="宋体" w:hAnsi="宋体" w:eastAsia="宋体" w:cs="宋体"/>
          <w:color w:val="000000"/>
          <w:kern w:val="0"/>
          <w:sz w:val="21"/>
          <w:szCs w:val="21"/>
          <w:lang w:val="en-US" w:eastAsia="zh-CN" w:bidi="ar"/>
        </w:rPr>
        <w:t>处方审核系统根据药品说明书中的适应证信息，设置与该药品对应的可能诊断（</w:t>
      </w:r>
      <w:r>
        <w:rPr>
          <w:rFonts w:hint="default" w:ascii="Times New Roman" w:hAnsi="Times New Roman" w:eastAsia="宋体" w:cs="Times New Roman"/>
          <w:color w:val="000000"/>
          <w:kern w:val="0"/>
          <w:sz w:val="21"/>
          <w:szCs w:val="21"/>
          <w:lang w:val="en-US" w:eastAsia="zh-CN" w:bidi="ar"/>
        </w:rPr>
        <w:t>ICD-10</w:t>
      </w:r>
      <w:r>
        <w:rPr>
          <w:rFonts w:hint="eastAsia" w:ascii="宋体" w:hAnsi="宋体" w:eastAsia="宋体" w:cs="宋体"/>
          <w:color w:val="000000"/>
          <w:kern w:val="0"/>
          <w:sz w:val="21"/>
          <w:szCs w:val="21"/>
          <w:lang w:val="en-US" w:eastAsia="zh-CN" w:bidi="ar"/>
        </w:rPr>
        <w:t>）。医师开具处方时，系统自动获取患者诊断，与所开药品对应的适应证进行比对，若不符，则警示该药品适应证与患者诊断不符。</w:t>
      </w:r>
    </w:p>
    <w:p>
      <w:pPr>
        <w:pStyle w:val="67"/>
        <w:numPr>
          <w:ilvl w:val="3"/>
          <w:numId w:val="0"/>
        </w:numPr>
        <w:spacing w:before="156" w:after="156"/>
        <w:ind w:leftChars="0"/>
        <w:rPr>
          <w:rFonts w:hint="eastAsia" w:hAnsi="Times New Roman" w:cs="Times New Roman"/>
          <w:lang w:val="en-US" w:eastAsia="zh-CN"/>
        </w:rPr>
      </w:pPr>
      <w:r>
        <w:rPr>
          <w:rFonts w:hint="eastAsia" w:hAnsi="Times New Roman" w:cs="Times New Roman"/>
          <w:lang w:val="en-US" w:eastAsia="zh-CN"/>
        </w:rPr>
        <w:t>5.4</w:t>
      </w:r>
      <w:r>
        <w:rPr>
          <w:rFonts w:hint="default" w:hAnsi="Times New Roman" w:cs="Times New Roman"/>
          <w:lang w:val="en-US" w:eastAsia="zh-CN"/>
        </w:rPr>
        <w:t xml:space="preserve">.2 </w:t>
      </w:r>
      <w:r>
        <w:rPr>
          <w:rFonts w:hint="eastAsia" w:hAnsi="Times New Roman" w:cs="Times New Roman"/>
          <w:lang w:val="en-US" w:eastAsia="zh-CN"/>
        </w:rPr>
        <w:t xml:space="preserve">药物禁忌症审核 </w:t>
      </w:r>
    </w:p>
    <w:p>
      <w:pPr>
        <w:keepNext w:val="0"/>
        <w:keepLines w:val="0"/>
        <w:pageBreakBefore w:val="0"/>
        <w:widowControl/>
        <w:suppressLineNumbers w:val="0"/>
        <w:kinsoku/>
        <w:wordWrap/>
        <w:overflowPunct/>
        <w:topLinePunct w:val="0"/>
        <w:bidi w:val="0"/>
        <w:spacing w:line="240" w:lineRule="auto"/>
        <w:ind w:left="0" w:right="0" w:firstLine="420" w:firstLineChars="200"/>
        <w:jc w:val="left"/>
      </w:pPr>
      <w:r>
        <w:rPr>
          <w:rFonts w:hint="eastAsia" w:ascii="宋体" w:hAnsi="宋体" w:eastAsia="宋体" w:cs="宋体"/>
          <w:color w:val="000000"/>
          <w:kern w:val="0"/>
          <w:sz w:val="21"/>
          <w:szCs w:val="21"/>
          <w:lang w:val="en-US" w:eastAsia="zh-CN" w:bidi="ar"/>
        </w:rPr>
        <w:t>处方审核系统根据药品说明书禁忌症信息，设置与该药品禁忌症对应的可能诊断。医师开具处方时， 系统自动获取患者诊断或自动关联检验检查结果，与所开药品所对应的禁忌症进行比对，若与之相符， 则警示患者有使用该药品的禁忌症。</w:t>
      </w:r>
    </w:p>
    <w:p>
      <w:pPr>
        <w:pStyle w:val="67"/>
        <w:numPr>
          <w:ilvl w:val="3"/>
          <w:numId w:val="0"/>
        </w:numPr>
        <w:spacing w:before="156" w:after="156"/>
        <w:ind w:leftChars="0"/>
        <w:rPr>
          <w:rFonts w:hint="eastAsia" w:hAnsi="Times New Roman" w:cs="Times New Roman"/>
          <w:lang w:val="en-US" w:eastAsia="zh-CN"/>
        </w:rPr>
      </w:pPr>
      <w:r>
        <w:rPr>
          <w:rFonts w:hint="eastAsia" w:hAnsi="Times New Roman" w:cs="Times New Roman"/>
          <w:lang w:val="en-US" w:eastAsia="zh-CN"/>
        </w:rPr>
        <w:t>5.4</w:t>
      </w:r>
      <w:r>
        <w:rPr>
          <w:rFonts w:hint="default" w:hAnsi="Times New Roman" w:cs="Times New Roman"/>
          <w:lang w:val="en-US" w:eastAsia="zh-CN"/>
        </w:rPr>
        <w:t xml:space="preserve">.3 </w:t>
      </w:r>
      <w:r>
        <w:rPr>
          <w:rFonts w:hint="eastAsia" w:hAnsi="Times New Roman" w:cs="Times New Roman"/>
          <w:lang w:val="en-US" w:eastAsia="zh-CN"/>
        </w:rPr>
        <w:t xml:space="preserve">药物用法用量审核 </w:t>
      </w:r>
    </w:p>
    <w:p>
      <w:pPr>
        <w:pStyle w:val="67"/>
        <w:numPr>
          <w:ilvl w:val="3"/>
          <w:numId w:val="0"/>
        </w:numPr>
        <w:spacing w:before="156" w:after="156"/>
        <w:ind w:leftChars="0"/>
        <w:rPr>
          <w:rFonts w:hint="eastAsia" w:hAnsi="Times New Roman" w:cs="Times New Roman"/>
          <w:lang w:val="en-US" w:eastAsia="zh-CN"/>
        </w:rPr>
      </w:pPr>
      <w:r>
        <w:rPr>
          <w:rFonts w:hint="eastAsia" w:hAnsi="Times New Roman" w:cs="Times New Roman"/>
          <w:lang w:val="en-US" w:eastAsia="zh-CN"/>
        </w:rPr>
        <w:t>5.4.3.</w:t>
      </w:r>
      <w:r>
        <w:rPr>
          <w:rFonts w:hint="default" w:hAnsi="Times New Roman" w:cs="Times New Roman"/>
          <w:lang w:val="en-US" w:eastAsia="zh-CN"/>
        </w:rPr>
        <w:t xml:space="preserve">1 </w:t>
      </w:r>
      <w:r>
        <w:rPr>
          <w:rFonts w:hint="eastAsia" w:hAnsi="Times New Roman" w:cs="Times New Roman"/>
          <w:lang w:val="en-US" w:eastAsia="zh-CN"/>
        </w:rPr>
        <w:t xml:space="preserve">药物单次剂量、给药频次审核 </w:t>
      </w:r>
    </w:p>
    <w:p>
      <w:pPr>
        <w:keepNext w:val="0"/>
        <w:keepLines w:val="0"/>
        <w:pageBreakBefore w:val="0"/>
        <w:widowControl/>
        <w:suppressLineNumbers w:val="0"/>
        <w:kinsoku/>
        <w:wordWrap/>
        <w:overflowPunct/>
        <w:topLinePunct w:val="0"/>
        <w:bidi w:val="0"/>
        <w:spacing w:line="240" w:lineRule="auto"/>
        <w:ind w:left="0" w:right="0" w:firstLine="420" w:firstLineChars="200"/>
        <w:jc w:val="left"/>
      </w:pPr>
      <w:r>
        <w:rPr>
          <w:rFonts w:hint="eastAsia" w:ascii="宋体" w:hAnsi="宋体" w:eastAsia="宋体" w:cs="宋体"/>
          <w:color w:val="000000"/>
          <w:kern w:val="0"/>
          <w:sz w:val="21"/>
          <w:szCs w:val="21"/>
          <w:lang w:val="en-US" w:eastAsia="zh-CN" w:bidi="ar"/>
        </w:rPr>
        <w:t>处方审核系统根据药品说明书对药品常规用法用量进行审查，可设置与该药品对应的不同适应症下的用法用量审查规则。医师开具处方时，系统自动获取患者诊断，与所开药品对应的适应证进行比对，相符时，系统自动获取医师开具该药物的用法用量，与系统设置的相应适应证的用法用量进行比对，对与系统设置的药物单次剂量、给药频次不符的处方予以警示，并注明药品说明书载明的推荐剂量、给药频次。</w:t>
      </w:r>
    </w:p>
    <w:p>
      <w:pPr>
        <w:pStyle w:val="67"/>
        <w:numPr>
          <w:ilvl w:val="3"/>
          <w:numId w:val="0"/>
        </w:numPr>
        <w:spacing w:before="156" w:after="156"/>
        <w:ind w:leftChars="0"/>
        <w:rPr>
          <w:rFonts w:hint="eastAsia" w:hAnsi="Times New Roman" w:cs="Times New Roman"/>
          <w:lang w:val="en-US" w:eastAsia="zh-CN"/>
        </w:rPr>
      </w:pPr>
      <w:r>
        <w:rPr>
          <w:rFonts w:hint="eastAsia" w:hAnsi="Times New Roman" w:cs="Times New Roman"/>
          <w:lang w:val="en-US" w:eastAsia="zh-CN"/>
        </w:rPr>
        <w:t>5.4.3.</w:t>
      </w:r>
      <w:r>
        <w:rPr>
          <w:rFonts w:hint="default" w:hAnsi="Times New Roman" w:cs="Times New Roman"/>
          <w:lang w:val="en-US" w:eastAsia="zh-CN"/>
        </w:rPr>
        <w:t xml:space="preserve">2 </w:t>
      </w:r>
      <w:r>
        <w:rPr>
          <w:rFonts w:hint="eastAsia" w:hAnsi="Times New Roman" w:cs="Times New Roman"/>
          <w:lang w:val="en-US" w:eastAsia="zh-CN"/>
        </w:rPr>
        <w:t xml:space="preserve">药物配制浓度审核 </w:t>
      </w:r>
    </w:p>
    <w:p>
      <w:pPr>
        <w:keepNext w:val="0"/>
        <w:keepLines w:val="0"/>
        <w:pageBreakBefore w:val="0"/>
        <w:widowControl/>
        <w:suppressLineNumbers w:val="0"/>
        <w:kinsoku/>
        <w:wordWrap/>
        <w:overflowPunct/>
        <w:topLinePunct w:val="0"/>
        <w:bidi w:val="0"/>
        <w:spacing w:line="240" w:lineRule="auto"/>
        <w:ind w:left="0" w:right="0" w:firstLine="420" w:firstLineChars="200"/>
        <w:jc w:val="left"/>
      </w:pPr>
      <w:r>
        <w:rPr>
          <w:rFonts w:hint="eastAsia" w:ascii="宋体" w:hAnsi="宋体" w:eastAsia="宋体" w:cs="宋体"/>
          <w:color w:val="000000"/>
          <w:kern w:val="0"/>
          <w:sz w:val="21"/>
          <w:szCs w:val="21"/>
          <w:lang w:val="en-US" w:eastAsia="zh-CN" w:bidi="ar"/>
        </w:rPr>
        <w:t>处方审核系统根据药品说明书中的药物配制浓度信息，设置该药品对应的浓度范围。医师开具处方时，系统自动获取处方中药品的剂量与溶媒量，计算配制浓度，与系统设置的浓度范围进行比对，若不符，则对系统设置浓度范围以外的配制浓度予以警示，并注明药品说明书中载明的药物配制浓度。</w:t>
      </w:r>
    </w:p>
    <w:p>
      <w:pPr>
        <w:pStyle w:val="67"/>
        <w:numPr>
          <w:ilvl w:val="3"/>
          <w:numId w:val="0"/>
        </w:numPr>
        <w:spacing w:before="156" w:after="156"/>
        <w:ind w:leftChars="0"/>
        <w:rPr>
          <w:rFonts w:hint="eastAsia" w:hAnsi="Times New Roman" w:cs="Times New Roman"/>
          <w:lang w:val="en-US" w:eastAsia="zh-CN"/>
        </w:rPr>
      </w:pPr>
      <w:r>
        <w:rPr>
          <w:rFonts w:hint="eastAsia" w:hAnsi="Times New Roman" w:cs="Times New Roman"/>
          <w:lang w:val="en-US" w:eastAsia="zh-CN"/>
        </w:rPr>
        <w:t>5.4.3.</w:t>
      </w:r>
      <w:r>
        <w:rPr>
          <w:rFonts w:hint="default" w:hAnsi="Times New Roman" w:cs="Times New Roman"/>
          <w:lang w:val="en-US" w:eastAsia="zh-CN"/>
        </w:rPr>
        <w:t xml:space="preserve">3 </w:t>
      </w:r>
      <w:r>
        <w:rPr>
          <w:rFonts w:hint="eastAsia" w:hAnsi="Times New Roman" w:cs="Times New Roman"/>
          <w:lang w:val="en-US" w:eastAsia="zh-CN"/>
        </w:rPr>
        <w:t>给药途径审核</w:t>
      </w:r>
    </w:p>
    <w:p>
      <w:pPr>
        <w:keepNext w:val="0"/>
        <w:keepLines w:val="0"/>
        <w:pageBreakBefore w:val="0"/>
        <w:widowControl/>
        <w:suppressLineNumbers w:val="0"/>
        <w:kinsoku/>
        <w:wordWrap/>
        <w:overflowPunct/>
        <w:topLinePunct w:val="0"/>
        <w:bidi w:val="0"/>
        <w:spacing w:line="240" w:lineRule="auto"/>
        <w:ind w:left="0" w:right="0" w:firstLine="420" w:firstLineChars="200"/>
        <w:jc w:val="left"/>
      </w:pPr>
      <w:r>
        <w:rPr>
          <w:rFonts w:hint="eastAsia" w:ascii="宋体" w:hAnsi="宋体" w:eastAsia="宋体" w:cs="宋体"/>
          <w:color w:val="000000"/>
          <w:kern w:val="0"/>
          <w:sz w:val="21"/>
          <w:szCs w:val="21"/>
          <w:lang w:val="en-US" w:eastAsia="zh-CN" w:bidi="ar"/>
        </w:rPr>
        <w:t>处方审核系统根据药品说明书中的给药途径信息，设置该药品对应的给药途径。医师开具处方时，系统自动获取处方中药品的给药途径，与系统设置的给药途径进行比对，若不符，则对系统设置以外的给药途径予以警示，并注明药品说明书中载明的给药途径。</w:t>
      </w:r>
    </w:p>
    <w:p>
      <w:pPr>
        <w:pStyle w:val="67"/>
        <w:numPr>
          <w:ilvl w:val="3"/>
          <w:numId w:val="0"/>
        </w:numPr>
        <w:spacing w:before="156" w:after="156"/>
        <w:ind w:leftChars="0"/>
        <w:rPr>
          <w:rFonts w:hint="eastAsia" w:hAnsi="Times New Roman" w:cs="Times New Roman"/>
          <w:lang w:val="en-US" w:eastAsia="zh-CN"/>
        </w:rPr>
      </w:pPr>
      <w:r>
        <w:rPr>
          <w:rFonts w:hint="eastAsia" w:hAnsi="Times New Roman" w:cs="Times New Roman"/>
          <w:lang w:val="en-US" w:eastAsia="zh-CN"/>
        </w:rPr>
        <w:t>5.4.3.</w:t>
      </w:r>
      <w:r>
        <w:rPr>
          <w:rFonts w:hint="default" w:hAnsi="Times New Roman" w:cs="Times New Roman"/>
          <w:lang w:val="en-US" w:eastAsia="zh-CN"/>
        </w:rPr>
        <w:t xml:space="preserve">4 </w:t>
      </w:r>
      <w:r>
        <w:rPr>
          <w:rFonts w:hint="eastAsia" w:hAnsi="Times New Roman" w:cs="Times New Roman"/>
          <w:lang w:val="en-US" w:eastAsia="zh-CN"/>
        </w:rPr>
        <w:t xml:space="preserve">用药疗程审核 </w:t>
      </w:r>
    </w:p>
    <w:p>
      <w:pPr>
        <w:keepNext w:val="0"/>
        <w:keepLines w:val="0"/>
        <w:pageBreakBefore w:val="0"/>
        <w:widowControl/>
        <w:suppressLineNumbers w:val="0"/>
        <w:kinsoku/>
        <w:wordWrap/>
        <w:overflowPunct/>
        <w:topLinePunct w:val="0"/>
        <w:bidi w:val="0"/>
        <w:spacing w:line="240" w:lineRule="auto"/>
        <w:ind w:left="0" w:right="0" w:firstLine="420" w:firstLineChars="200"/>
        <w:jc w:val="left"/>
      </w:pPr>
      <w:r>
        <w:rPr>
          <w:rFonts w:hint="eastAsia" w:ascii="宋体" w:hAnsi="宋体" w:eastAsia="宋体" w:cs="宋体"/>
          <w:color w:val="000000"/>
          <w:kern w:val="0"/>
          <w:sz w:val="21"/>
          <w:szCs w:val="21"/>
          <w:lang w:val="en-US" w:eastAsia="zh-CN" w:bidi="ar"/>
        </w:rPr>
        <w:t xml:space="preserve">处方审核系统根据药品说明书中的用法用量信息，设置用药疗程。 </w:t>
      </w:r>
    </w:p>
    <w:p>
      <w:pPr>
        <w:keepNext w:val="0"/>
        <w:keepLines w:val="0"/>
        <w:pageBreakBefore w:val="0"/>
        <w:widowControl/>
        <w:suppressLineNumbers w:val="0"/>
        <w:kinsoku/>
        <w:wordWrap/>
        <w:overflowPunct/>
        <w:topLinePunct w:val="0"/>
        <w:bidi w:val="0"/>
        <w:spacing w:line="240" w:lineRule="auto"/>
        <w:ind w:left="0" w:right="0" w:firstLine="420" w:firstLineChars="200"/>
        <w:jc w:val="left"/>
      </w:pPr>
      <w:r>
        <w:rPr>
          <w:rFonts w:hint="eastAsia" w:ascii="宋体" w:hAnsi="宋体" w:eastAsia="宋体" w:cs="宋体"/>
          <w:color w:val="000000"/>
          <w:kern w:val="0"/>
          <w:sz w:val="21"/>
          <w:szCs w:val="21"/>
          <w:lang w:val="en-US" w:eastAsia="zh-CN" w:bidi="ar"/>
        </w:rPr>
        <w:t xml:space="preserve">门诊处方：系统根据处方中药品总剂量和用法用量计算给药天数，或从处方中直接获取处方天数，与处方审核系统中设置的用药疗程进行比对，对于超过疗程的处方予以警示。 </w:t>
      </w:r>
    </w:p>
    <w:p>
      <w:pPr>
        <w:keepNext w:val="0"/>
        <w:keepLines w:val="0"/>
        <w:pageBreakBefore w:val="0"/>
        <w:widowControl/>
        <w:suppressLineNumbers w:val="0"/>
        <w:kinsoku/>
        <w:wordWrap/>
        <w:overflowPunct/>
        <w:topLinePunct w:val="0"/>
        <w:bidi w:val="0"/>
        <w:spacing w:line="240" w:lineRule="auto"/>
        <w:ind w:left="0" w:right="0" w:firstLine="420" w:firstLineChars="200"/>
        <w:jc w:val="left"/>
      </w:pPr>
      <w:r>
        <w:rPr>
          <w:rFonts w:hint="eastAsia" w:ascii="宋体" w:hAnsi="宋体" w:eastAsia="宋体" w:cs="宋体"/>
          <w:color w:val="000000"/>
          <w:kern w:val="0"/>
          <w:sz w:val="21"/>
          <w:szCs w:val="21"/>
          <w:lang w:val="en-US" w:eastAsia="zh-CN" w:bidi="ar"/>
        </w:rPr>
        <w:t xml:space="preserve">住院医嘱：医师开具药品医嘱后，系统记录该医嘱开始时间。对于已设定停止时间的医嘱，系统根据医嘱起止时间计算用药天数，与处方审核系统中设置的用药疗程进行比对；对于未设定停止时间的医嘱，在其他任何医嘱开具之时，系统根据任何医嘱的开具时间与未停医嘱之间的时间差值，计算用药天数。对于用药天数超过疗程未停止的医嘱予以警示。  </w:t>
      </w:r>
    </w:p>
    <w:p>
      <w:pPr>
        <w:pStyle w:val="67"/>
        <w:numPr>
          <w:ilvl w:val="3"/>
          <w:numId w:val="0"/>
        </w:numPr>
        <w:spacing w:before="156" w:after="156"/>
        <w:ind w:leftChars="0"/>
        <w:rPr>
          <w:rFonts w:hint="eastAsia" w:hAnsi="Times New Roman" w:cs="Times New Roman"/>
          <w:lang w:val="en-US" w:eastAsia="zh-CN"/>
        </w:rPr>
      </w:pPr>
      <w:r>
        <w:rPr>
          <w:rFonts w:hint="eastAsia" w:hAnsi="Times New Roman" w:cs="Times New Roman"/>
          <w:lang w:val="en-US" w:eastAsia="zh-CN"/>
        </w:rPr>
        <w:t>5.4.3.5</w:t>
      </w:r>
      <w:r>
        <w:rPr>
          <w:rFonts w:hint="default" w:hAnsi="Times New Roman" w:cs="Times New Roman"/>
          <w:lang w:val="en-US" w:eastAsia="zh-CN"/>
        </w:rPr>
        <w:t xml:space="preserve"> </w:t>
      </w:r>
      <w:r>
        <w:rPr>
          <w:rFonts w:hint="eastAsia" w:hAnsi="Times New Roman" w:cs="Times New Roman"/>
          <w:lang w:val="en-US" w:eastAsia="zh-CN"/>
        </w:rPr>
        <w:t xml:space="preserve">配伍禁忌审核 </w:t>
      </w:r>
    </w:p>
    <w:p>
      <w:pPr>
        <w:keepNext w:val="0"/>
        <w:keepLines w:val="0"/>
        <w:pageBreakBefore w:val="0"/>
        <w:widowControl/>
        <w:suppressLineNumbers w:val="0"/>
        <w:kinsoku/>
        <w:wordWrap/>
        <w:overflowPunct/>
        <w:topLinePunct w:val="0"/>
        <w:bidi w:val="0"/>
        <w:spacing w:line="240" w:lineRule="auto"/>
        <w:ind w:left="0" w:right="0" w:firstLine="420" w:firstLineChars="200"/>
        <w:jc w:val="left"/>
      </w:pPr>
      <w:r>
        <w:rPr>
          <w:rFonts w:hint="eastAsia" w:ascii="宋体" w:hAnsi="宋体" w:eastAsia="宋体" w:cs="宋体"/>
          <w:color w:val="000000"/>
          <w:kern w:val="0"/>
          <w:sz w:val="21"/>
          <w:szCs w:val="21"/>
          <w:lang w:val="en-US" w:eastAsia="zh-CN" w:bidi="ar"/>
        </w:rPr>
        <w:t xml:space="preserve">处方审核系统根据药品说明书中给药途径和对应的配伍、溶媒等信息，设置与该药品给药途径下对应的配伍、溶媒。医师开具处方时，系统自动获取处方中的药物及其给药途径，与系统设置的配伍、溶媒进行比对，若不符，则对系统设置的该给药途径下可配伍之外的药物、溶媒予以警示，并注明药品说明书中载明的溶媒品种。 </w:t>
      </w:r>
    </w:p>
    <w:p>
      <w:pPr>
        <w:pStyle w:val="67"/>
        <w:numPr>
          <w:ilvl w:val="3"/>
          <w:numId w:val="0"/>
        </w:numPr>
        <w:spacing w:before="156" w:after="156"/>
        <w:ind w:leftChars="0"/>
        <w:rPr>
          <w:rFonts w:hint="eastAsia" w:hAnsi="Times New Roman" w:cs="Times New Roman"/>
          <w:lang w:val="en-US" w:eastAsia="zh-CN"/>
        </w:rPr>
      </w:pPr>
      <w:r>
        <w:rPr>
          <w:rFonts w:hint="eastAsia" w:hAnsi="Times New Roman" w:cs="Times New Roman"/>
          <w:lang w:val="en-US" w:eastAsia="zh-CN"/>
        </w:rPr>
        <w:t>5.4.3.6</w:t>
      </w:r>
      <w:r>
        <w:rPr>
          <w:rFonts w:hint="default" w:hAnsi="Times New Roman" w:cs="Times New Roman"/>
          <w:lang w:val="en-US" w:eastAsia="zh-CN"/>
        </w:rPr>
        <w:t xml:space="preserve"> </w:t>
      </w:r>
      <w:r>
        <w:rPr>
          <w:rFonts w:hint="eastAsia" w:hAnsi="Times New Roman" w:cs="Times New Roman"/>
          <w:lang w:val="en-US" w:eastAsia="zh-CN"/>
        </w:rPr>
        <w:t>药物相互作用审核</w:t>
      </w:r>
    </w:p>
    <w:p>
      <w:pPr>
        <w:keepNext w:val="0"/>
        <w:keepLines w:val="0"/>
        <w:pageBreakBefore w:val="0"/>
        <w:widowControl/>
        <w:suppressLineNumbers w:val="0"/>
        <w:kinsoku/>
        <w:wordWrap/>
        <w:overflowPunct/>
        <w:topLinePunct w:val="0"/>
        <w:bidi w:val="0"/>
        <w:spacing w:line="240" w:lineRule="auto"/>
        <w:ind w:left="0" w:right="0" w:firstLine="420" w:firstLineChars="200"/>
        <w:jc w:val="left"/>
      </w:pPr>
      <w:r>
        <w:rPr>
          <w:rFonts w:hint="eastAsia" w:ascii="宋体" w:hAnsi="宋体" w:eastAsia="宋体" w:cs="宋体"/>
          <w:color w:val="000000"/>
          <w:kern w:val="0"/>
          <w:sz w:val="21"/>
          <w:szCs w:val="21"/>
          <w:lang w:val="en-US" w:eastAsia="zh-CN" w:bidi="ar"/>
        </w:rPr>
        <w:t>处方审核系统根据药品说明书中药物相互作用信息，设置与该药品对应的有相互作用或潜在相互作用的药物及辅料。医师开具处方时，系统自动获取患者目前在用的药物信息，与系统设置的有相互作用的药物及辅料进行比对，若相符，则系统产生</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具有相互作用</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的警示。</w:t>
      </w:r>
    </w:p>
    <w:p>
      <w:pPr>
        <w:pStyle w:val="67"/>
        <w:numPr>
          <w:ilvl w:val="3"/>
          <w:numId w:val="0"/>
        </w:numPr>
        <w:spacing w:before="156" w:after="156"/>
        <w:ind w:leftChars="0"/>
        <w:rPr>
          <w:rFonts w:hint="eastAsia" w:hAnsi="Times New Roman" w:cs="Times New Roman"/>
          <w:lang w:val="en-US" w:eastAsia="zh-CN"/>
        </w:rPr>
      </w:pPr>
      <w:r>
        <w:rPr>
          <w:rFonts w:hint="eastAsia" w:hAnsi="Times New Roman" w:cs="Times New Roman"/>
          <w:lang w:val="en-US" w:eastAsia="zh-CN"/>
        </w:rPr>
        <w:t>5.4.3.7</w:t>
      </w:r>
      <w:r>
        <w:rPr>
          <w:rFonts w:hint="default" w:hAnsi="Times New Roman" w:cs="Times New Roman"/>
          <w:lang w:val="en-US" w:eastAsia="zh-CN"/>
        </w:rPr>
        <w:t xml:space="preserve"> </w:t>
      </w:r>
      <w:r>
        <w:rPr>
          <w:rFonts w:hint="eastAsia" w:hAnsi="Times New Roman" w:cs="Times New Roman"/>
          <w:lang w:val="en-US" w:eastAsia="zh-CN"/>
        </w:rPr>
        <w:t xml:space="preserve">重复用药审核 </w:t>
      </w:r>
    </w:p>
    <w:p>
      <w:pPr>
        <w:keepNext w:val="0"/>
        <w:keepLines w:val="0"/>
        <w:pageBreakBefore w:val="0"/>
        <w:widowControl/>
        <w:suppressLineNumbers w:val="0"/>
        <w:kinsoku/>
        <w:wordWrap/>
        <w:overflowPunct/>
        <w:topLinePunct w:val="0"/>
        <w:bidi w:val="0"/>
        <w:spacing w:line="240" w:lineRule="auto"/>
        <w:ind w:left="0" w:right="0" w:firstLine="420" w:firstLineChars="200"/>
        <w:jc w:val="left"/>
      </w:pPr>
      <w:r>
        <w:rPr>
          <w:rFonts w:hint="eastAsia" w:ascii="宋体" w:hAnsi="宋体" w:eastAsia="宋体" w:cs="宋体"/>
          <w:color w:val="000000"/>
          <w:kern w:val="0"/>
          <w:sz w:val="21"/>
          <w:szCs w:val="21"/>
          <w:lang w:val="en-US" w:eastAsia="zh-CN" w:bidi="ar"/>
        </w:rPr>
        <w:t>处方审核系统按药理作用对药品进行分类，设置每种药品的类别。当医师开具处方时，系统自动获取患者用药信息。对于系统设置的同一种药物重复使用（如：成分相同但商品名或剂型不同的药物合用，单一成分及其含有该成分的复方制剂合用）、药理作用相同的药物重复使用、相同作用机制的药物合用时，在其中一种药物使用期间，开具与该药物处于同一类别项下药品，处方审核系统即产生</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重复用药</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的警示。系统应能对同一医师、不同科别医师、同一医院或通过区域处方集中审核平台对医共体内不同医院的医师开具的处方，进行重复用药审核。有临床诊疗指南支持联用的以及序贯治疗可不做重复用药的警示。</w:t>
      </w:r>
    </w:p>
    <w:p>
      <w:pPr>
        <w:keepNext w:val="0"/>
        <w:keepLines w:val="0"/>
        <w:pageBreakBefore w:val="0"/>
        <w:widowControl/>
        <w:suppressLineNumbers w:val="0"/>
        <w:kinsoku/>
        <w:wordWrap/>
        <w:overflowPunct/>
        <w:topLinePunct w:val="0"/>
        <w:bidi w:val="0"/>
        <w:spacing w:line="240" w:lineRule="auto"/>
        <w:ind w:left="0" w:right="0" w:firstLine="420" w:firstLineChars="200"/>
        <w:jc w:val="left"/>
      </w:pPr>
      <w:r>
        <w:rPr>
          <w:rFonts w:hint="eastAsia" w:ascii="Times New Roman" w:hAnsi="Times New Roman" w:cs="Times New Roman"/>
          <w:color w:val="000000"/>
          <w:kern w:val="0"/>
          <w:sz w:val="21"/>
          <w:szCs w:val="21"/>
          <w:lang w:val="en-US" w:eastAsia="zh-CN" w:bidi="ar"/>
        </w:rPr>
        <w:t>5.4.3</w:t>
      </w:r>
      <w:r>
        <w:rPr>
          <w:rFonts w:hint="eastAsia" w:ascii="Times New Roman" w:hAnsi="Times New Roman" w:eastAsia="宋体" w:cs="Times New Roman"/>
          <w:color w:val="000000"/>
          <w:kern w:val="0"/>
          <w:sz w:val="21"/>
          <w:szCs w:val="21"/>
          <w:lang w:val="en-US" w:eastAsia="zh-CN" w:bidi="ar"/>
        </w:rPr>
        <w:t>.</w:t>
      </w:r>
      <w:r>
        <w:rPr>
          <w:rFonts w:hint="eastAsia" w:ascii="Times New Roman" w:hAnsi="Times New Roman" w:cs="Times New Roman"/>
          <w:color w:val="000000"/>
          <w:kern w:val="0"/>
          <w:sz w:val="21"/>
          <w:szCs w:val="21"/>
          <w:lang w:val="en-US" w:eastAsia="zh-CN" w:bidi="ar"/>
        </w:rPr>
        <w:t>8</w:t>
      </w:r>
      <w:r>
        <w:rPr>
          <w:rFonts w:hint="default" w:ascii="Times New Roman" w:hAnsi="Times New Roman" w:eastAsia="宋体" w:cs="Times New Roman"/>
          <w:color w:val="000000"/>
          <w:kern w:val="0"/>
          <w:sz w:val="21"/>
          <w:szCs w:val="21"/>
          <w:lang w:val="en-US" w:eastAsia="zh-CN" w:bidi="ar"/>
        </w:rPr>
        <w:t xml:space="preserve"> </w:t>
      </w:r>
      <w:r>
        <w:rPr>
          <w:rFonts w:hint="eastAsia" w:ascii="黑体" w:hAnsi="宋体" w:eastAsia="黑体" w:cs="黑体"/>
          <w:color w:val="000000"/>
          <w:kern w:val="0"/>
          <w:sz w:val="21"/>
          <w:szCs w:val="21"/>
          <w:lang w:val="en-US" w:eastAsia="zh-CN" w:bidi="ar"/>
        </w:rPr>
        <w:t xml:space="preserve">过敏史及需行皮试药物的审核 </w:t>
      </w:r>
    </w:p>
    <w:p>
      <w:pPr>
        <w:pStyle w:val="67"/>
        <w:numPr>
          <w:ilvl w:val="3"/>
          <w:numId w:val="0"/>
        </w:numPr>
        <w:spacing w:before="156" w:after="156"/>
        <w:ind w:leftChars="0" w:firstLine="420" w:firstLineChars="200"/>
      </w:pPr>
      <w:r>
        <w:rPr>
          <w:rFonts w:hint="eastAsia" w:ascii="宋体" w:hAnsi="宋体" w:eastAsia="宋体" w:cs="宋体"/>
          <w:color w:val="000000"/>
          <w:kern w:val="0"/>
          <w:sz w:val="21"/>
          <w:szCs w:val="21"/>
          <w:lang w:val="en-US" w:eastAsia="zh-CN" w:bidi="ar"/>
        </w:rPr>
        <w:t>处方审核系统根据药品说明书中</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禁忌</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或</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注意事项</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中的过敏原信息，设置与该过敏原对应的药物。医师开具处方时，系统自动获取患者的药物、食物过敏史，将处方中的药物与系统设置的过敏原对应的药物进行比对，若相符，则予以警示。</w:t>
      </w:r>
    </w:p>
    <w:p>
      <w:pPr>
        <w:keepNext w:val="0"/>
        <w:keepLines w:val="0"/>
        <w:pageBreakBefore w:val="0"/>
        <w:widowControl/>
        <w:suppressLineNumbers w:val="0"/>
        <w:kinsoku/>
        <w:wordWrap/>
        <w:overflowPunct/>
        <w:topLinePunct w:val="0"/>
        <w:bidi w:val="0"/>
        <w:spacing w:line="240" w:lineRule="auto"/>
        <w:ind w:left="0" w:right="0" w:firstLine="420" w:firstLineChars="200"/>
        <w:jc w:val="left"/>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 xml:space="preserve">需先行皮试、结果阴性方可使用的药物，医生需先在电子病历系统中开具该药物的皮试处方，患者完成皮试，电子病历系统获得患者皮试阴性结果后，方能继续在电子病历系统中开具该药物的治疗处方。 </w:t>
      </w:r>
    </w:p>
    <w:p>
      <w:pPr>
        <w:keepNext w:val="0"/>
        <w:keepLines w:val="0"/>
        <w:pageBreakBefore w:val="0"/>
        <w:widowControl/>
        <w:suppressLineNumbers w:val="0"/>
        <w:kinsoku/>
        <w:wordWrap/>
        <w:overflowPunct/>
        <w:topLinePunct w:val="0"/>
        <w:bidi w:val="0"/>
        <w:spacing w:line="240" w:lineRule="auto"/>
        <w:ind w:left="0" w:right="0" w:firstLine="420" w:firstLineChars="200"/>
        <w:jc w:val="left"/>
      </w:pPr>
      <w:r>
        <w:rPr>
          <w:rFonts w:hint="eastAsia" w:ascii="宋体" w:hAnsi="宋体" w:eastAsia="宋体" w:cs="宋体"/>
          <w:color w:val="000000"/>
          <w:kern w:val="0"/>
          <w:sz w:val="21"/>
          <w:szCs w:val="21"/>
          <w:lang w:val="en-US" w:eastAsia="zh-CN" w:bidi="ar"/>
        </w:rPr>
        <w:t xml:space="preserve">电子病历系统获得患者皮试阴性的结果之后，将医师开具的药物治疗处方传递给处方审核系统进行下一步审核。 </w:t>
      </w:r>
    </w:p>
    <w:p>
      <w:pPr>
        <w:pStyle w:val="67"/>
        <w:numPr>
          <w:ilvl w:val="3"/>
          <w:numId w:val="0"/>
        </w:numPr>
        <w:spacing w:before="156" w:after="156"/>
        <w:ind w:leftChars="0"/>
        <w:rPr>
          <w:rFonts w:hint="eastAsia" w:hAnsi="Times New Roman" w:cs="Times New Roman"/>
          <w:lang w:val="en-US" w:eastAsia="zh-CN"/>
        </w:rPr>
      </w:pPr>
      <w:r>
        <w:rPr>
          <w:rFonts w:hint="eastAsia" w:hAnsi="Times New Roman" w:cs="Times New Roman"/>
          <w:lang w:val="en-US" w:eastAsia="zh-CN"/>
        </w:rPr>
        <w:t>5.4.3.9</w:t>
      </w:r>
      <w:r>
        <w:rPr>
          <w:rFonts w:hint="default" w:hAnsi="Times New Roman" w:cs="Times New Roman"/>
          <w:lang w:val="en-US" w:eastAsia="zh-CN"/>
        </w:rPr>
        <w:t xml:space="preserve"> </w:t>
      </w:r>
      <w:r>
        <w:rPr>
          <w:rFonts w:hint="eastAsia" w:hAnsi="Times New Roman" w:cs="Times New Roman"/>
          <w:lang w:val="en-US" w:eastAsia="zh-CN"/>
        </w:rPr>
        <w:t xml:space="preserve">肾功能不全患者用药审核 </w:t>
      </w:r>
    </w:p>
    <w:p>
      <w:pPr>
        <w:keepNext w:val="0"/>
        <w:keepLines w:val="0"/>
        <w:pageBreakBefore w:val="0"/>
        <w:widowControl/>
        <w:suppressLineNumbers w:val="0"/>
        <w:kinsoku/>
        <w:wordWrap/>
        <w:overflowPunct/>
        <w:topLinePunct w:val="0"/>
        <w:bidi w:val="0"/>
        <w:spacing w:line="240" w:lineRule="auto"/>
        <w:ind w:left="0" w:right="0" w:firstLine="420" w:firstLineChars="200"/>
        <w:jc w:val="left"/>
      </w:pPr>
      <w:r>
        <w:rPr>
          <w:rFonts w:hint="eastAsia" w:ascii="宋体" w:hAnsi="宋体" w:eastAsia="宋体" w:cs="宋体"/>
          <w:color w:val="000000"/>
          <w:kern w:val="0"/>
          <w:sz w:val="21"/>
          <w:szCs w:val="21"/>
          <w:lang w:val="en-US" w:eastAsia="zh-CN" w:bidi="ar"/>
        </w:rPr>
        <w:t>处方审核系统根据药品说明书中特殊人群用药信息，设置该药品对应的不同肾功能状态下的用药剂量。医师开具处方时，系统自动获取患者诊断判断患者是否存在肾功能不全状况，同时系统自动获取患者最近一次血清肌酐的检验结果，通过处方审核系统内置</w:t>
      </w:r>
      <w:r>
        <w:rPr>
          <w:rFonts w:hint="default" w:ascii="Times New Roman" w:hAnsi="Times New Roman" w:eastAsia="宋体" w:cs="Times New Roman"/>
          <w:color w:val="000000"/>
          <w:kern w:val="0"/>
          <w:sz w:val="21"/>
          <w:szCs w:val="21"/>
          <w:lang w:val="en-US" w:eastAsia="zh-CN" w:bidi="ar"/>
        </w:rPr>
        <w:t>C-G</w:t>
      </w:r>
      <w:r>
        <w:rPr>
          <w:rFonts w:hint="eastAsia" w:ascii="宋体" w:hAnsi="宋体" w:eastAsia="宋体" w:cs="宋体"/>
          <w:color w:val="000000"/>
          <w:kern w:val="0"/>
          <w:sz w:val="21"/>
          <w:szCs w:val="21"/>
          <w:lang w:val="en-US" w:eastAsia="zh-CN" w:bidi="ar"/>
        </w:rPr>
        <w:t>公式自动计算患者内生肌酐清除率。若患者存在肾功能不全状态，则选择不同的用法用量，给予不同肾功能状态下的药物剂量或是否禁用的推荐。</w:t>
      </w:r>
    </w:p>
    <w:p>
      <w:pPr>
        <w:pStyle w:val="67"/>
        <w:numPr>
          <w:ilvl w:val="3"/>
          <w:numId w:val="0"/>
        </w:numPr>
        <w:spacing w:before="156" w:after="156"/>
        <w:ind w:leftChars="0"/>
        <w:rPr>
          <w:rFonts w:hint="eastAsia" w:hAnsi="Times New Roman" w:cs="Times New Roman"/>
          <w:lang w:val="en-US" w:eastAsia="zh-CN"/>
        </w:rPr>
      </w:pPr>
      <w:r>
        <w:rPr>
          <w:rFonts w:hint="eastAsia" w:hAnsi="Times New Roman" w:cs="Times New Roman"/>
          <w:lang w:val="en-US" w:eastAsia="zh-CN"/>
        </w:rPr>
        <w:t>5.4.3.10</w:t>
      </w:r>
      <w:r>
        <w:rPr>
          <w:rFonts w:hint="default" w:hAnsi="Times New Roman" w:cs="Times New Roman"/>
          <w:lang w:val="en-US" w:eastAsia="zh-CN"/>
        </w:rPr>
        <w:t xml:space="preserve"> </w:t>
      </w:r>
      <w:r>
        <w:rPr>
          <w:rFonts w:hint="eastAsia" w:hAnsi="Times New Roman" w:cs="Times New Roman"/>
          <w:lang w:val="en-US" w:eastAsia="zh-CN"/>
        </w:rPr>
        <w:t xml:space="preserve">肝功能不全患者用药审核 </w:t>
      </w:r>
    </w:p>
    <w:p>
      <w:pPr>
        <w:keepNext w:val="0"/>
        <w:keepLines w:val="0"/>
        <w:pageBreakBefore w:val="0"/>
        <w:widowControl/>
        <w:suppressLineNumbers w:val="0"/>
        <w:kinsoku/>
        <w:wordWrap/>
        <w:overflowPunct/>
        <w:topLinePunct w:val="0"/>
        <w:bidi w:val="0"/>
        <w:spacing w:line="240" w:lineRule="auto"/>
        <w:ind w:left="0" w:right="0" w:firstLine="420" w:firstLineChars="200"/>
        <w:jc w:val="left"/>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处方审核系统根据药品说明书中特殊人群用药信息，设置该药品对应的不同肝功能状态下的用药剂量。医师开具处方时，系统自动获取患者诊断判断患者是否存在肝功能不全状况，同时获取最近一次检验的谷丙转氨酶、谷草转氨酶、碱性磷酸酶、总胆红素、血清白蛋白浓度、凝血酶原时间、血氨、患者腹水量等结果，并根据以上检验指标判断患者是否存在肝功能不全状态。若患者存在肝功能不全状态，则选择不同的用法用量，给予不同肝功能状态下的药物剂量或是否禁用的推荐。</w:t>
      </w:r>
    </w:p>
    <w:p>
      <w:pPr>
        <w:pStyle w:val="67"/>
        <w:numPr>
          <w:ilvl w:val="3"/>
          <w:numId w:val="0"/>
        </w:numPr>
        <w:spacing w:before="156" w:after="156"/>
        <w:ind w:leftChars="0"/>
        <w:rPr>
          <w:rFonts w:hint="eastAsia" w:hAnsi="Times New Roman" w:cs="Times New Roman"/>
          <w:lang w:val="en-US" w:eastAsia="zh-CN"/>
        </w:rPr>
      </w:pPr>
      <w:r>
        <w:rPr>
          <w:rFonts w:hint="eastAsia" w:hAnsi="Times New Roman" w:cs="Times New Roman"/>
          <w:lang w:val="en-US" w:eastAsia="zh-CN"/>
        </w:rPr>
        <w:t>5.4.3.11</w:t>
      </w:r>
      <w:r>
        <w:rPr>
          <w:rFonts w:hint="default" w:hAnsi="Times New Roman" w:cs="Times New Roman"/>
          <w:lang w:val="en-US" w:eastAsia="zh-CN"/>
        </w:rPr>
        <w:t xml:space="preserve"> </w:t>
      </w:r>
      <w:r>
        <w:rPr>
          <w:rFonts w:hint="eastAsia" w:hAnsi="Times New Roman" w:cs="Times New Roman"/>
          <w:lang w:val="en-US" w:eastAsia="zh-CN"/>
        </w:rPr>
        <w:t>妊娠</w:t>
      </w:r>
      <w:r>
        <w:rPr>
          <w:rFonts w:hint="default" w:hAnsi="Times New Roman" w:cs="Times New Roman"/>
          <w:lang w:val="en-US" w:eastAsia="zh-CN"/>
        </w:rPr>
        <w:t>/</w:t>
      </w:r>
      <w:r>
        <w:rPr>
          <w:rFonts w:hint="eastAsia" w:hAnsi="Times New Roman" w:cs="Times New Roman"/>
          <w:lang w:val="en-US" w:eastAsia="zh-CN"/>
        </w:rPr>
        <w:t xml:space="preserve">哺乳期用药审核 </w:t>
      </w:r>
    </w:p>
    <w:p>
      <w:pPr>
        <w:keepNext w:val="0"/>
        <w:keepLines w:val="0"/>
        <w:pageBreakBefore w:val="0"/>
        <w:widowControl/>
        <w:suppressLineNumbers w:val="0"/>
        <w:kinsoku/>
        <w:wordWrap/>
        <w:overflowPunct/>
        <w:topLinePunct w:val="0"/>
        <w:bidi w:val="0"/>
        <w:spacing w:line="240" w:lineRule="auto"/>
        <w:ind w:left="0" w:right="0" w:firstLine="420" w:firstLineChars="200"/>
        <w:jc w:val="left"/>
      </w:pPr>
      <w:r>
        <w:rPr>
          <w:rFonts w:hint="eastAsia" w:ascii="宋体" w:hAnsi="宋体" w:eastAsia="宋体" w:cs="宋体"/>
          <w:color w:val="000000"/>
          <w:kern w:val="0"/>
          <w:sz w:val="21"/>
          <w:szCs w:val="21"/>
          <w:lang w:val="en-US" w:eastAsia="zh-CN" w:bidi="ar"/>
        </w:rPr>
        <w:t>处方审核系统根据药品说明书中特殊人群用药信息，设置妊娠</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哺乳状态下禁忌使用的药品。医师开具处方时，系统自动获取患者的诊断及妊娠</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哺乳状态，判断患者是否存在妊娠，若存在，则将处方中的药物与系统设置的妊娠</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哺乳状态慎用、禁用药物进行比对，若相符，则予以警示。</w:t>
      </w:r>
    </w:p>
    <w:p>
      <w:pPr>
        <w:pStyle w:val="67"/>
        <w:numPr>
          <w:ilvl w:val="3"/>
          <w:numId w:val="0"/>
        </w:numPr>
        <w:spacing w:before="156" w:after="156"/>
        <w:ind w:leftChars="0"/>
        <w:rPr>
          <w:rFonts w:hint="eastAsia" w:hAnsi="Times New Roman" w:cs="Times New Roman"/>
          <w:lang w:val="en-US" w:eastAsia="zh-CN"/>
        </w:rPr>
      </w:pPr>
      <w:r>
        <w:rPr>
          <w:rFonts w:hint="eastAsia" w:hAnsi="Times New Roman" w:cs="Times New Roman"/>
          <w:lang w:val="en-US" w:eastAsia="zh-CN"/>
        </w:rPr>
        <w:t>5.4.3.12</w:t>
      </w:r>
      <w:r>
        <w:rPr>
          <w:rFonts w:hint="default" w:hAnsi="Times New Roman" w:cs="Times New Roman"/>
          <w:lang w:val="en-US" w:eastAsia="zh-CN"/>
        </w:rPr>
        <w:t xml:space="preserve"> </w:t>
      </w:r>
      <w:r>
        <w:rPr>
          <w:rFonts w:hint="eastAsia" w:hAnsi="Times New Roman" w:cs="Times New Roman"/>
          <w:lang w:val="en-US" w:eastAsia="zh-CN"/>
        </w:rPr>
        <w:t xml:space="preserve">老年患者用药审核 </w:t>
      </w:r>
    </w:p>
    <w:p>
      <w:pPr>
        <w:keepNext w:val="0"/>
        <w:keepLines w:val="0"/>
        <w:pageBreakBefore w:val="0"/>
        <w:widowControl/>
        <w:suppressLineNumbers w:val="0"/>
        <w:kinsoku/>
        <w:wordWrap/>
        <w:overflowPunct/>
        <w:topLinePunct w:val="0"/>
        <w:bidi w:val="0"/>
        <w:spacing w:line="240" w:lineRule="auto"/>
        <w:ind w:left="0" w:right="0" w:firstLine="420" w:firstLineChars="200"/>
        <w:jc w:val="left"/>
      </w:pPr>
      <w:r>
        <w:rPr>
          <w:rFonts w:hint="eastAsia" w:ascii="宋体" w:hAnsi="宋体" w:eastAsia="宋体" w:cs="宋体"/>
          <w:color w:val="000000"/>
          <w:kern w:val="0"/>
          <w:sz w:val="21"/>
          <w:szCs w:val="21"/>
          <w:lang w:val="en-US" w:eastAsia="zh-CN" w:bidi="ar"/>
        </w:rPr>
        <w:t>处方审核系统根据药品说明书中特殊人群用药信息，设置老年患者用药剂量或禁用、慎用的药品。医师开具处方时，系统首先自动获取患者年龄，与系统设置的年龄进行比对，若相符，则系统将处方中的药品与老年患者需要调整剂量、禁用、慎用的药品进行比对，选择不同的用法用量，或给予禁用、慎用的警示。</w:t>
      </w:r>
    </w:p>
    <w:p>
      <w:pPr>
        <w:keepNext w:val="0"/>
        <w:keepLines w:val="0"/>
        <w:pageBreakBefore w:val="0"/>
        <w:widowControl/>
        <w:suppressLineNumbers w:val="0"/>
        <w:kinsoku/>
        <w:wordWrap/>
        <w:overflowPunct/>
        <w:topLinePunct w:val="0"/>
        <w:bidi w:val="0"/>
        <w:spacing w:line="240" w:lineRule="auto"/>
        <w:ind w:left="0" w:right="0" w:firstLine="420" w:firstLineChars="200"/>
        <w:jc w:val="left"/>
      </w:pPr>
      <w:r>
        <w:rPr>
          <w:rFonts w:hint="eastAsia" w:ascii="宋体" w:hAnsi="宋体" w:eastAsia="宋体" w:cs="宋体"/>
          <w:color w:val="000000"/>
          <w:kern w:val="0"/>
          <w:sz w:val="21"/>
          <w:szCs w:val="21"/>
          <w:lang w:val="en-US" w:eastAsia="zh-CN" w:bidi="ar"/>
        </w:rPr>
        <w:t>老年人年龄界限（</w:t>
      </w:r>
      <w:r>
        <w:rPr>
          <w:rFonts w:hint="default" w:ascii="Times New Roman" w:hAnsi="Times New Roman" w:eastAsia="宋体" w:cs="Times New Roman"/>
          <w:color w:val="000000"/>
          <w:kern w:val="0"/>
          <w:sz w:val="21"/>
          <w:szCs w:val="21"/>
          <w:lang w:val="en-US" w:eastAsia="zh-CN" w:bidi="ar"/>
        </w:rPr>
        <w:t>≥60</w:t>
      </w:r>
      <w:r>
        <w:rPr>
          <w:rFonts w:hint="eastAsia" w:ascii="宋体" w:hAnsi="宋体" w:eastAsia="宋体" w:cs="宋体"/>
          <w:color w:val="000000"/>
          <w:kern w:val="0"/>
          <w:sz w:val="21"/>
          <w:szCs w:val="21"/>
          <w:lang w:val="en-US" w:eastAsia="zh-CN" w:bidi="ar"/>
        </w:rPr>
        <w:t xml:space="preserve">岁）参照世界卫生组织按联合国区域划分的亚太地区老年人定义设置。 </w:t>
      </w:r>
    </w:p>
    <w:p>
      <w:pPr>
        <w:pStyle w:val="67"/>
        <w:numPr>
          <w:ilvl w:val="3"/>
          <w:numId w:val="0"/>
        </w:numPr>
        <w:spacing w:before="156" w:after="156"/>
        <w:ind w:leftChars="0"/>
        <w:rPr>
          <w:rFonts w:hint="eastAsia" w:hAnsi="Times New Roman" w:cs="Times New Roman"/>
          <w:lang w:val="en-US" w:eastAsia="zh-CN"/>
        </w:rPr>
      </w:pPr>
      <w:r>
        <w:rPr>
          <w:rFonts w:hint="eastAsia" w:hAnsi="Times New Roman" w:cs="Times New Roman"/>
          <w:lang w:val="en-US" w:eastAsia="zh-CN"/>
        </w:rPr>
        <w:t>5.4.3.13</w:t>
      </w:r>
      <w:r>
        <w:rPr>
          <w:rFonts w:hint="default" w:hAnsi="Times New Roman" w:cs="Times New Roman"/>
          <w:lang w:val="en-US" w:eastAsia="zh-CN"/>
        </w:rPr>
        <w:t xml:space="preserve"> </w:t>
      </w:r>
      <w:r>
        <w:rPr>
          <w:rFonts w:hint="eastAsia" w:hAnsi="Times New Roman" w:cs="Times New Roman"/>
          <w:lang w:val="en-US" w:eastAsia="zh-CN"/>
        </w:rPr>
        <w:t xml:space="preserve">儿童患者用药审核 </w:t>
      </w:r>
    </w:p>
    <w:p>
      <w:pPr>
        <w:keepNext w:val="0"/>
        <w:keepLines w:val="0"/>
        <w:pageBreakBefore w:val="0"/>
        <w:widowControl/>
        <w:suppressLineNumbers w:val="0"/>
        <w:kinsoku/>
        <w:wordWrap/>
        <w:overflowPunct/>
        <w:topLinePunct w:val="0"/>
        <w:bidi w:val="0"/>
        <w:spacing w:line="240" w:lineRule="auto"/>
        <w:ind w:left="0" w:right="0" w:firstLine="420" w:firstLineChars="200"/>
        <w:jc w:val="left"/>
      </w:pPr>
      <w:r>
        <w:rPr>
          <w:rFonts w:hint="eastAsia" w:ascii="宋体" w:hAnsi="宋体" w:eastAsia="宋体" w:cs="宋体"/>
          <w:color w:val="000000"/>
          <w:kern w:val="0"/>
          <w:sz w:val="21"/>
          <w:szCs w:val="21"/>
          <w:lang w:val="en-US" w:eastAsia="zh-CN" w:bidi="ar"/>
        </w:rPr>
        <w:t xml:space="preserve">处方审核系统根据药品说明书中特殊人群用药信息，设置儿童患者用药剂量或禁用、慎用的药品。 </w:t>
      </w:r>
    </w:p>
    <w:p>
      <w:pPr>
        <w:keepNext w:val="0"/>
        <w:keepLines w:val="0"/>
        <w:pageBreakBefore w:val="0"/>
        <w:widowControl/>
        <w:suppressLineNumbers w:val="0"/>
        <w:kinsoku/>
        <w:wordWrap/>
        <w:overflowPunct/>
        <w:topLinePunct w:val="0"/>
        <w:bidi w:val="0"/>
        <w:spacing w:line="240" w:lineRule="auto"/>
        <w:ind w:left="0" w:right="0" w:firstLine="420" w:firstLineChars="200"/>
        <w:jc w:val="left"/>
      </w:pPr>
      <w:r>
        <w:rPr>
          <w:rFonts w:hint="eastAsia" w:ascii="宋体" w:hAnsi="宋体" w:eastAsia="宋体" w:cs="宋体"/>
          <w:color w:val="000000"/>
          <w:kern w:val="0"/>
          <w:sz w:val="21"/>
          <w:szCs w:val="21"/>
          <w:lang w:val="en-US" w:eastAsia="zh-CN" w:bidi="ar"/>
        </w:rPr>
        <w:t>医师开具处方时，系统首先自动获取患者年龄，与系统设置的年龄进行比对，若相符，则系统将处方中 的药品与儿童患者需要调整剂量、禁用、慎用的药品进行比对，根据儿童年龄、体重或体表面积，选择不同的用法用量，或给予禁用、慎用的警示。 药品说明书中明确写明不宜使用的儿童年龄时，处方审核系统参照药品说明书设置该药品的儿童患者年龄界限。药品说明书中未明确写明不宜使用的儿童年龄时，儿童年龄界限（</w:t>
      </w:r>
      <w:r>
        <w:rPr>
          <w:rFonts w:hint="default" w:ascii="Times New Roman" w:hAnsi="Times New Roman" w:eastAsia="宋体" w:cs="Times New Roman"/>
          <w:color w:val="000000"/>
          <w:kern w:val="0"/>
          <w:sz w:val="21"/>
          <w:szCs w:val="21"/>
          <w:lang w:val="en-US" w:eastAsia="zh-CN" w:bidi="ar"/>
        </w:rPr>
        <w:t>≤14</w:t>
      </w:r>
      <w:r>
        <w:rPr>
          <w:rFonts w:hint="eastAsia" w:ascii="宋体" w:hAnsi="宋体" w:eastAsia="宋体" w:cs="宋体"/>
          <w:color w:val="000000"/>
          <w:kern w:val="0"/>
          <w:sz w:val="21"/>
          <w:szCs w:val="21"/>
          <w:lang w:val="en-US" w:eastAsia="zh-CN" w:bidi="ar"/>
        </w:rPr>
        <w:t xml:space="preserve">岁）。 </w:t>
      </w:r>
    </w:p>
    <w:p>
      <w:pPr>
        <w:pStyle w:val="67"/>
        <w:numPr>
          <w:ilvl w:val="3"/>
          <w:numId w:val="0"/>
        </w:numPr>
        <w:spacing w:before="156" w:after="156"/>
        <w:ind w:leftChars="0"/>
        <w:rPr>
          <w:rFonts w:hint="eastAsia" w:hAnsi="Times New Roman" w:cs="Times New Roman"/>
          <w:lang w:val="en-US" w:eastAsia="zh-CN"/>
        </w:rPr>
      </w:pPr>
      <w:r>
        <w:rPr>
          <w:rFonts w:hint="eastAsia" w:hAnsi="Times New Roman" w:cs="Times New Roman"/>
          <w:lang w:val="en-US" w:eastAsia="zh-CN"/>
        </w:rPr>
        <w:t>5.4.3.14</w:t>
      </w:r>
      <w:r>
        <w:rPr>
          <w:rFonts w:hint="default" w:hAnsi="Times New Roman" w:cs="Times New Roman"/>
          <w:lang w:val="en-US" w:eastAsia="zh-CN"/>
        </w:rPr>
        <w:t xml:space="preserve"> </w:t>
      </w:r>
      <w:r>
        <w:rPr>
          <w:rFonts w:hint="eastAsia" w:hAnsi="Times New Roman" w:cs="Times New Roman"/>
          <w:lang w:val="en-US" w:eastAsia="zh-CN"/>
        </w:rPr>
        <w:t xml:space="preserve">性别用药审核 </w:t>
      </w:r>
    </w:p>
    <w:p>
      <w:pPr>
        <w:keepNext w:val="0"/>
        <w:keepLines w:val="0"/>
        <w:pageBreakBefore w:val="0"/>
        <w:widowControl/>
        <w:suppressLineNumbers w:val="0"/>
        <w:kinsoku/>
        <w:wordWrap/>
        <w:overflowPunct/>
        <w:topLinePunct w:val="0"/>
        <w:bidi w:val="0"/>
        <w:spacing w:line="240" w:lineRule="auto"/>
        <w:ind w:left="0" w:right="0" w:firstLine="420" w:firstLineChars="200"/>
        <w:jc w:val="left"/>
      </w:pPr>
      <w:r>
        <w:rPr>
          <w:rFonts w:hint="eastAsia" w:ascii="宋体" w:hAnsi="宋体" w:eastAsia="宋体" w:cs="宋体"/>
          <w:color w:val="000000"/>
          <w:kern w:val="0"/>
          <w:sz w:val="21"/>
          <w:szCs w:val="21"/>
          <w:lang w:val="en-US" w:eastAsia="zh-CN" w:bidi="ar"/>
        </w:rPr>
        <w:t>处方审核系统根据药品说明书设置男性或女性不适用的药物。医师开具处方时，系统自动获取患者的性别，将处方中的药物与系统设置的男性或女性不适用的药物进行比对，若相符，则予以警示。</w:t>
      </w:r>
    </w:p>
    <w:p>
      <w:pPr>
        <w:pStyle w:val="67"/>
        <w:numPr>
          <w:ilvl w:val="3"/>
          <w:numId w:val="0"/>
        </w:numPr>
        <w:spacing w:before="156" w:after="156"/>
        <w:ind w:leftChars="0"/>
        <w:rPr>
          <w:rFonts w:hint="eastAsia" w:hAnsi="Times New Roman" w:cs="Times New Roman"/>
          <w:lang w:val="en-US" w:eastAsia="zh-CN"/>
        </w:rPr>
      </w:pPr>
      <w:r>
        <w:rPr>
          <w:rFonts w:hint="eastAsia" w:hAnsi="Times New Roman" w:cs="Times New Roman"/>
          <w:lang w:val="en-US" w:eastAsia="zh-CN"/>
        </w:rPr>
        <w:t>5.4.3.15</w:t>
      </w:r>
      <w:r>
        <w:rPr>
          <w:rFonts w:hint="default" w:hAnsi="Times New Roman" w:cs="Times New Roman"/>
          <w:lang w:val="en-US" w:eastAsia="zh-CN"/>
        </w:rPr>
        <w:t xml:space="preserve"> </w:t>
      </w:r>
      <w:r>
        <w:rPr>
          <w:rFonts w:hint="eastAsia" w:hAnsi="Times New Roman" w:cs="Times New Roman"/>
          <w:lang w:val="en-US" w:eastAsia="zh-CN"/>
        </w:rPr>
        <w:t xml:space="preserve">药品限量审核 </w:t>
      </w:r>
    </w:p>
    <w:p>
      <w:pPr>
        <w:keepNext w:val="0"/>
        <w:keepLines w:val="0"/>
        <w:pageBreakBefore w:val="0"/>
        <w:widowControl/>
        <w:suppressLineNumbers w:val="0"/>
        <w:kinsoku/>
        <w:wordWrap/>
        <w:overflowPunct/>
        <w:topLinePunct w:val="0"/>
        <w:bidi w:val="0"/>
        <w:spacing w:line="240" w:lineRule="auto"/>
        <w:ind w:left="0" w:right="0" w:firstLine="420" w:firstLineChars="200"/>
        <w:jc w:val="left"/>
      </w:pPr>
      <w:r>
        <w:rPr>
          <w:rFonts w:hint="eastAsia" w:ascii="宋体" w:hAnsi="宋体" w:eastAsia="宋体" w:cs="宋体"/>
          <w:color w:val="000000"/>
          <w:kern w:val="0"/>
          <w:sz w:val="21"/>
          <w:szCs w:val="21"/>
          <w:lang w:val="en-US" w:eastAsia="zh-CN" w:bidi="ar"/>
        </w:rPr>
        <w:t>处方审核系统根据国家法规、医保规定及医院管理规定设置</w:t>
      </w:r>
      <w:r>
        <w:rPr>
          <w:rFonts w:hint="eastAsia" w:ascii="宋体" w:hAnsi="宋体" w:eastAsia="宋体" w:cs="宋体"/>
          <w:color w:val="000000"/>
          <w:kern w:val="0"/>
          <w:sz w:val="22"/>
          <w:szCs w:val="22"/>
          <w:lang w:val="en-US" w:eastAsia="zh-CN" w:bidi="ar"/>
        </w:rPr>
        <w:t>门急诊处方、特殊药品处方</w:t>
      </w:r>
      <w:r>
        <w:rPr>
          <w:rFonts w:hint="eastAsia" w:ascii="宋体" w:hAnsi="宋体" w:eastAsia="宋体" w:cs="宋体"/>
          <w:color w:val="000000"/>
          <w:kern w:val="0"/>
          <w:sz w:val="21"/>
          <w:szCs w:val="21"/>
          <w:lang w:val="en-US" w:eastAsia="zh-CN" w:bidi="ar"/>
        </w:rPr>
        <w:t>开具每种药品的最大限量。医师开具处方时，系统根据用法用量自动计算处方中每种药品开具的数量，将处方中 的药品数量与系统设置的数量最大限量进行比对，若大于最大限量，则予以警示。</w:t>
      </w:r>
    </w:p>
    <w:p>
      <w:pPr>
        <w:pStyle w:val="67"/>
        <w:numPr>
          <w:ilvl w:val="3"/>
          <w:numId w:val="0"/>
        </w:numPr>
        <w:spacing w:before="156" w:after="156"/>
        <w:ind w:leftChars="0"/>
        <w:rPr>
          <w:rFonts w:hint="eastAsia" w:hAnsi="Times New Roman" w:cs="Times New Roman"/>
          <w:lang w:val="en-US" w:eastAsia="zh-CN"/>
        </w:rPr>
      </w:pPr>
      <w:r>
        <w:rPr>
          <w:rFonts w:hint="eastAsia" w:hAnsi="Times New Roman" w:cs="Times New Roman"/>
          <w:lang w:val="en-US" w:eastAsia="zh-CN"/>
        </w:rPr>
        <w:t>5.4.3.16</w:t>
      </w:r>
      <w:r>
        <w:rPr>
          <w:rFonts w:hint="default" w:hAnsi="Times New Roman" w:cs="Times New Roman"/>
          <w:lang w:val="en-US" w:eastAsia="zh-CN"/>
        </w:rPr>
        <w:t xml:space="preserve"> </w:t>
      </w:r>
      <w:r>
        <w:rPr>
          <w:rFonts w:hint="eastAsia" w:hAnsi="Times New Roman" w:cs="Times New Roman"/>
          <w:lang w:val="en-US" w:eastAsia="zh-CN"/>
        </w:rPr>
        <w:t>给药时机警示</w:t>
      </w:r>
    </w:p>
    <w:p>
      <w:pPr>
        <w:keepNext w:val="0"/>
        <w:keepLines w:val="0"/>
        <w:pageBreakBefore w:val="0"/>
        <w:widowControl/>
        <w:suppressLineNumbers w:val="0"/>
        <w:kinsoku/>
        <w:wordWrap/>
        <w:overflowPunct/>
        <w:topLinePunct w:val="0"/>
        <w:bidi w:val="0"/>
        <w:spacing w:line="240" w:lineRule="auto"/>
        <w:ind w:left="0" w:right="0" w:firstLine="420" w:firstLineChars="200"/>
        <w:jc w:val="left"/>
      </w:pPr>
      <w:r>
        <w:rPr>
          <w:rFonts w:hint="eastAsia" w:ascii="宋体" w:hAnsi="宋体" w:eastAsia="宋体" w:cs="宋体"/>
          <w:color w:val="000000"/>
          <w:kern w:val="0"/>
          <w:sz w:val="21"/>
          <w:szCs w:val="21"/>
          <w:lang w:val="en-US" w:eastAsia="zh-CN" w:bidi="ar"/>
        </w:rPr>
        <w:t>处方审核系统根据药品说明书中的用法用量信息设置给药时机警示。医师开具该药物处方时，系统自动警示医师该药适宜的给药时间。</w:t>
      </w:r>
    </w:p>
    <w:p>
      <w:pPr>
        <w:keepNext w:val="0"/>
        <w:keepLines w:val="0"/>
        <w:pageBreakBefore w:val="0"/>
        <w:widowControl/>
        <w:suppressLineNumbers w:val="0"/>
        <w:kinsoku/>
        <w:wordWrap/>
        <w:overflowPunct/>
        <w:topLinePunct w:val="0"/>
        <w:bidi w:val="0"/>
        <w:spacing w:line="240" w:lineRule="auto"/>
        <w:ind w:left="0" w:right="0" w:firstLine="420" w:firstLineChars="200"/>
        <w:jc w:val="left"/>
        <w:rPr>
          <w:rFonts w:hint="eastAsia" w:ascii="Times New Roman" w:hAnsi="Times New Roman" w:cs="Times New Roman"/>
          <w:color w:val="000000"/>
          <w:kern w:val="0"/>
          <w:sz w:val="21"/>
          <w:szCs w:val="21"/>
          <w:lang w:val="en-US" w:eastAsia="zh-CN" w:bidi="ar"/>
        </w:rPr>
      </w:pPr>
    </w:p>
    <w:p>
      <w:pPr>
        <w:pStyle w:val="67"/>
        <w:numPr>
          <w:ilvl w:val="3"/>
          <w:numId w:val="0"/>
        </w:numPr>
        <w:spacing w:before="156" w:after="156"/>
        <w:ind w:leftChars="0"/>
        <w:rPr>
          <w:rFonts w:hint="eastAsia" w:hAnsi="Times New Roman" w:cs="Times New Roman"/>
          <w:lang w:val="en-US" w:eastAsia="zh-CN"/>
        </w:rPr>
      </w:pPr>
      <w:r>
        <w:rPr>
          <w:rFonts w:hint="eastAsia" w:hAnsi="Times New Roman" w:cs="Times New Roman"/>
          <w:lang w:val="en-US" w:eastAsia="zh-CN"/>
        </w:rPr>
        <w:t>5</w:t>
      </w:r>
      <w:r>
        <w:rPr>
          <w:rFonts w:hint="default" w:hAnsi="Times New Roman" w:cs="Times New Roman"/>
          <w:lang w:val="en-US" w:eastAsia="zh-CN"/>
        </w:rPr>
        <w:t>.</w:t>
      </w:r>
      <w:r>
        <w:rPr>
          <w:rFonts w:hint="eastAsia" w:hAnsi="Times New Roman" w:cs="Times New Roman"/>
          <w:lang w:val="en-US" w:eastAsia="zh-CN"/>
        </w:rPr>
        <w:t>5</w:t>
      </w:r>
      <w:r>
        <w:rPr>
          <w:rFonts w:hint="default" w:hAnsi="Times New Roman" w:cs="Times New Roman"/>
          <w:lang w:val="en-US" w:eastAsia="zh-CN"/>
        </w:rPr>
        <w:t xml:space="preserve"> </w:t>
      </w:r>
      <w:r>
        <w:rPr>
          <w:rFonts w:hint="eastAsia" w:hAnsi="Times New Roman" w:cs="Times New Roman"/>
          <w:lang w:val="en-US" w:eastAsia="zh-CN"/>
        </w:rPr>
        <w:t xml:space="preserve">处方审核流程 </w:t>
      </w:r>
    </w:p>
    <w:p>
      <w:pPr>
        <w:pStyle w:val="58"/>
        <w:keepNext w:val="0"/>
        <w:keepLines w:val="0"/>
        <w:pageBreakBefore w:val="0"/>
        <w:kinsoku/>
        <w:wordWrap/>
        <w:overflowPunct/>
        <w:topLinePunct w:val="0"/>
        <w:bidi w:val="0"/>
        <w:spacing w:line="240" w:lineRule="auto"/>
        <w:ind w:left="0" w:right="0" w:firstLine="420" w:firstLineChars="200"/>
        <w:rPr>
          <w:rFonts w:hint="eastAsia"/>
        </w:rPr>
      </w:pPr>
      <w:r>
        <w:rPr>
          <w:rFonts w:hint="eastAsia"/>
          <w:lang w:val="en-US" w:eastAsia="zh-CN"/>
        </w:rPr>
        <w:t>处方审核需具备的两个必需因素为：（</w:t>
      </w:r>
      <w:r>
        <w:rPr>
          <w:rFonts w:hint="default"/>
          <w:lang w:val="en-US" w:eastAsia="zh-CN"/>
        </w:rPr>
        <w:t>1</w:t>
      </w:r>
      <w:r>
        <w:rPr>
          <w:rFonts w:hint="eastAsia"/>
          <w:lang w:val="en-US" w:eastAsia="zh-CN"/>
        </w:rPr>
        <w:t>）审方系统辅助药师进行处方审核；（</w:t>
      </w:r>
      <w:r>
        <w:rPr>
          <w:rFonts w:hint="default"/>
          <w:lang w:val="en-US" w:eastAsia="zh-CN"/>
        </w:rPr>
        <w:t>2</w:t>
      </w:r>
      <w:r>
        <w:rPr>
          <w:rFonts w:hint="eastAsia"/>
          <w:lang w:val="en-US" w:eastAsia="zh-CN"/>
        </w:rPr>
        <w:t>）收费前完成处方审核。</w:t>
      </w:r>
      <w:r>
        <w:rPr>
          <w:rFonts w:hint="eastAsia"/>
        </w:rPr>
        <w:t>医师在HIS系统开具处方后，处方进入处方</w:t>
      </w:r>
      <w:r>
        <w:rPr>
          <w:rFonts w:hint="eastAsia"/>
          <w:lang w:val="en-US" w:eastAsia="zh-CN"/>
        </w:rPr>
        <w:t>前置</w:t>
      </w:r>
      <w:r>
        <w:rPr>
          <w:rFonts w:hint="eastAsia"/>
        </w:rPr>
        <w:t>审核</w:t>
      </w:r>
      <w:r>
        <w:rPr>
          <w:rFonts w:hint="eastAsia"/>
          <w:lang w:val="en-US" w:eastAsia="zh-CN"/>
        </w:rPr>
        <w:t>进行</w:t>
      </w:r>
      <w:r>
        <w:rPr>
          <w:rFonts w:hint="eastAsia"/>
        </w:rPr>
        <w:t>系统审核（预审），处方审核系统根据用药情况分别给予相应级别的判断，并由</w:t>
      </w:r>
      <w:r>
        <w:rPr>
          <w:rFonts w:hint="eastAsia"/>
          <w:lang w:val="en-US" w:eastAsia="zh-CN"/>
        </w:rPr>
        <w:t>审方</w:t>
      </w:r>
      <w:r>
        <w:rPr>
          <w:rFonts w:hint="eastAsia"/>
        </w:rPr>
        <w:t>药师介入不合理处方的审核和干预流程，由处方审核系统或审方药师审核通过后的处方方可进入缴费、取药流程。</w:t>
      </w:r>
    </w:p>
    <w:p>
      <w:pPr>
        <w:keepNext w:val="0"/>
        <w:keepLines w:val="0"/>
        <w:pageBreakBefore w:val="0"/>
        <w:widowControl/>
        <w:suppressLineNumbers w:val="0"/>
        <w:kinsoku/>
        <w:wordWrap/>
        <w:overflowPunct/>
        <w:topLinePunct w:val="0"/>
        <w:bidi w:val="0"/>
        <w:spacing w:line="240" w:lineRule="auto"/>
        <w:ind w:left="0" w:right="0" w:firstLine="420" w:firstLineChars="200"/>
        <w:jc w:val="left"/>
        <w:rPr>
          <w:rFonts w:hint="eastAsia"/>
          <w:lang w:val="en-US" w:eastAsia="zh-CN"/>
        </w:rPr>
      </w:pPr>
      <w:r>
        <w:rPr>
          <w:rFonts w:hint="eastAsia"/>
          <w:lang w:val="en-US" w:eastAsia="zh-CN"/>
        </w:rPr>
        <w:t xml:space="preserve">处方审核流程可分为如下三个参考步骤： </w:t>
      </w:r>
    </w:p>
    <w:p>
      <w:pPr>
        <w:keepNext w:val="0"/>
        <w:keepLines w:val="0"/>
        <w:pageBreakBefore w:val="0"/>
        <w:widowControl/>
        <w:suppressLineNumbers w:val="0"/>
        <w:kinsoku/>
        <w:wordWrap/>
        <w:overflowPunct/>
        <w:topLinePunct w:val="0"/>
        <w:bidi w:val="0"/>
        <w:spacing w:line="240" w:lineRule="auto"/>
        <w:ind w:left="0" w:right="0" w:firstLine="420" w:firstLineChars="200"/>
        <w:jc w:val="left"/>
        <w:rPr>
          <w:rFonts w:hint="eastAsia"/>
          <w:lang w:val="en-US" w:eastAsia="zh-CN"/>
        </w:rPr>
      </w:pPr>
      <w:r>
        <w:rPr>
          <w:rFonts w:hint="eastAsia"/>
          <w:lang w:val="en-US" w:eastAsia="zh-CN"/>
        </w:rPr>
        <w:t xml:space="preserve">步骤一：系统审核阶段。医师开具处方时，处方审核系统判断所开具药品的适应证、用法用量等是否与系统设置的用药规则一致。若一致，系统判断处方合理，自动通过审核，进入收费环节。若不一致， 系统判断处方为“慎用”、“不推荐使用”或“禁用”，立即弹出相关用药警示信息。对于处方审核系统判断为“禁用”级别的处方，系统设置自动拦截，医师必须修改处方；对于系统判断为“慎用”、“不推荐使用” 级别的不合理处方，进入“步骤二”。 </w:t>
      </w:r>
    </w:p>
    <w:p>
      <w:pPr>
        <w:keepNext w:val="0"/>
        <w:keepLines w:val="0"/>
        <w:pageBreakBefore w:val="0"/>
        <w:widowControl/>
        <w:suppressLineNumbers w:val="0"/>
        <w:kinsoku/>
        <w:wordWrap/>
        <w:overflowPunct/>
        <w:topLinePunct w:val="0"/>
        <w:bidi w:val="0"/>
        <w:spacing w:line="240" w:lineRule="auto"/>
        <w:ind w:left="0" w:right="0" w:firstLine="420" w:firstLineChars="200"/>
        <w:jc w:val="left"/>
        <w:rPr>
          <w:rFonts w:hint="eastAsia"/>
          <w:lang w:val="en-US" w:eastAsia="zh-CN"/>
        </w:rPr>
      </w:pPr>
      <w:r>
        <w:rPr>
          <w:rFonts w:hint="eastAsia"/>
          <w:lang w:val="en-US" w:eastAsia="zh-CN"/>
        </w:rPr>
        <w:t>步骤二：人工审核阶段。药师对系统审核判断为“慎用”、“不推荐使用”级别的处方进行人工审核。 药师审核后判断为合理的处方可进入收费环节。药师审核后判断为不合理的处方予以退回，可采用退回请医师复核并签名确认或拒绝并必须修改处方两种方式。医师对退回的处方可采取下列处理措施：（1）医师对患者病情评估后坚持使用原治疗方案，再次复核并签名确认后处方可继续收费。医师再次复核签名确认使用原治疗方案的处方，在系统中予以记录；（2）医师更改原治疗方案，修改后的处方将作为新处方重新进入步骤一进行审核。药师退回的处方，若医师不采取上述处理措施，处方将无法收费。每张处方的审核时间不超过120s，超过120s则自动通过，每张处方均需通过后方能结算。</w:t>
      </w:r>
    </w:p>
    <w:p>
      <w:pPr>
        <w:keepNext w:val="0"/>
        <w:keepLines w:val="0"/>
        <w:pageBreakBefore w:val="0"/>
        <w:widowControl/>
        <w:suppressLineNumbers w:val="0"/>
        <w:kinsoku/>
        <w:wordWrap/>
        <w:overflowPunct/>
        <w:topLinePunct w:val="0"/>
        <w:bidi w:val="0"/>
        <w:spacing w:line="240" w:lineRule="auto"/>
        <w:ind w:left="0" w:right="0" w:firstLine="420" w:firstLineChars="200"/>
        <w:jc w:val="left"/>
        <w:rPr>
          <w:rFonts w:hint="eastAsia"/>
          <w:lang w:val="en-US" w:eastAsia="zh-CN"/>
        </w:rPr>
      </w:pPr>
      <w:r>
        <w:rPr>
          <w:rFonts w:hint="eastAsia"/>
          <w:lang w:val="en-US" w:eastAsia="zh-CN"/>
        </w:rPr>
        <w:t>步骤三：处方点评阶段。审方药师对超时未审和医师双签的处方进行点评，不断完善审方规则，形成闭环管理。</w:t>
      </w:r>
    </w:p>
    <w:p>
      <w:pPr>
        <w:keepNext w:val="0"/>
        <w:keepLines w:val="0"/>
        <w:pageBreakBefore w:val="0"/>
        <w:widowControl/>
        <w:suppressLineNumbers w:val="0"/>
        <w:kinsoku/>
        <w:wordWrap/>
        <w:overflowPunct/>
        <w:topLinePunct w:val="0"/>
        <w:bidi w:val="0"/>
        <w:spacing w:line="240" w:lineRule="auto"/>
        <w:ind w:left="0" w:right="0" w:firstLine="420" w:firstLineChars="200"/>
        <w:jc w:val="left"/>
        <w:rPr>
          <w:rFonts w:hint="eastAsia" w:ascii="Times New Roman" w:hAnsi="Times New Roman" w:cs="Times New Roman"/>
          <w:color w:val="0000FF"/>
          <w:kern w:val="0"/>
          <w:sz w:val="21"/>
          <w:szCs w:val="21"/>
          <w:lang w:val="en-US" w:eastAsia="zh-CN" w:bidi="ar"/>
        </w:rPr>
      </w:pPr>
    </w:p>
    <w:p>
      <w:pPr>
        <w:pStyle w:val="67"/>
        <w:numPr>
          <w:ilvl w:val="3"/>
          <w:numId w:val="0"/>
        </w:numPr>
        <w:spacing w:before="156" w:after="156"/>
        <w:ind w:leftChars="0"/>
        <w:rPr>
          <w:rFonts w:hint="eastAsia" w:hAnsi="Times New Roman" w:cs="Times New Roman"/>
          <w:lang w:val="en-US" w:eastAsia="zh-CN"/>
        </w:rPr>
      </w:pPr>
      <w:r>
        <w:rPr>
          <w:rFonts w:hint="eastAsia" w:hAnsi="Times New Roman" w:cs="Times New Roman"/>
          <w:lang w:val="en-US" w:eastAsia="zh-CN"/>
        </w:rPr>
        <w:t xml:space="preserve">5.6质量控制 </w:t>
      </w:r>
    </w:p>
    <w:p>
      <w:pPr>
        <w:pStyle w:val="67"/>
        <w:numPr>
          <w:ilvl w:val="3"/>
          <w:numId w:val="0"/>
        </w:numPr>
        <w:spacing w:before="156" w:after="156"/>
        <w:ind w:leftChars="0"/>
        <w:rPr>
          <w:rFonts w:hint="eastAsia" w:hAnsi="Times New Roman" w:cs="Times New Roman"/>
          <w:lang w:val="en-US" w:eastAsia="zh-CN"/>
        </w:rPr>
      </w:pPr>
      <w:r>
        <w:rPr>
          <w:rFonts w:hint="eastAsia" w:hAnsi="Times New Roman" w:cs="Times New Roman"/>
          <w:lang w:val="en-US" w:eastAsia="zh-CN"/>
        </w:rPr>
        <w:t>5.6.1</w:t>
      </w:r>
      <w:r>
        <w:rPr>
          <w:rFonts w:hint="default" w:hAnsi="Times New Roman" w:cs="Times New Roman"/>
          <w:lang w:val="en-US" w:eastAsia="zh-CN"/>
        </w:rPr>
        <w:t xml:space="preserve"> </w:t>
      </w:r>
      <w:r>
        <w:rPr>
          <w:rFonts w:hint="eastAsia" w:hAnsi="Times New Roman" w:cs="Times New Roman"/>
          <w:lang w:val="en-US" w:eastAsia="zh-CN"/>
        </w:rPr>
        <w:t xml:space="preserve">建立处方审核标准操作规程 </w:t>
      </w:r>
    </w:p>
    <w:p>
      <w:pPr>
        <w:pStyle w:val="67"/>
        <w:numPr>
          <w:ilvl w:val="3"/>
          <w:numId w:val="0"/>
        </w:numPr>
        <w:spacing w:before="156" w:after="156"/>
        <w:ind w:leftChars="0" w:firstLine="420" w:firstLineChars="200"/>
      </w:pPr>
      <w:r>
        <w:rPr>
          <w:rFonts w:hint="eastAsia" w:ascii="宋体" w:hAnsi="宋体" w:eastAsia="宋体" w:cs="宋体"/>
          <w:color w:val="000000"/>
          <w:kern w:val="0"/>
          <w:sz w:val="21"/>
          <w:szCs w:val="21"/>
          <w:lang w:val="en-US" w:eastAsia="zh-CN" w:bidi="ar"/>
        </w:rPr>
        <w:t xml:space="preserve">建立处方审核标准操作规程，使得不同药师在处理处方审核系统推送的审核结果时，统一根据操作规程中建立的标准，进行处方合理性判断。操作规程应对人工审核处方的标准做如下规定： </w:t>
      </w:r>
    </w:p>
    <w:p>
      <w:pPr>
        <w:keepNext w:val="0"/>
        <w:keepLines w:val="0"/>
        <w:pageBreakBefore w:val="0"/>
        <w:widowControl/>
        <w:suppressLineNumbers w:val="0"/>
        <w:kinsoku/>
        <w:wordWrap/>
        <w:overflowPunct/>
        <w:topLinePunct w:val="0"/>
        <w:bidi w:val="0"/>
        <w:spacing w:line="240" w:lineRule="auto"/>
        <w:ind w:left="0" w:right="0" w:firstLine="420" w:firstLineChars="200"/>
        <w:jc w:val="left"/>
      </w:pPr>
      <w:r>
        <w:rPr>
          <w:rFonts w:hint="default" w:ascii="Times New Roman" w:hAnsi="Times New Roman" w:eastAsia="宋体" w:cs="Times New Roman"/>
          <w:color w:val="000000"/>
          <w:kern w:val="0"/>
          <w:sz w:val="21"/>
          <w:szCs w:val="21"/>
          <w:lang w:val="en-US" w:eastAsia="zh-CN" w:bidi="ar"/>
        </w:rPr>
        <w:t>a</w:t>
      </w:r>
      <w:r>
        <w:rPr>
          <w:rFonts w:hint="eastAsia" w:ascii="宋体" w:hAnsi="宋体" w:eastAsia="宋体" w:cs="宋体"/>
          <w:color w:val="000000"/>
          <w:kern w:val="0"/>
          <w:sz w:val="21"/>
          <w:szCs w:val="21"/>
          <w:lang w:val="en-US" w:eastAsia="zh-CN" w:bidi="ar"/>
        </w:rPr>
        <w:t xml:space="preserve">）需要收集患者何种临床资料； </w:t>
      </w:r>
    </w:p>
    <w:p>
      <w:pPr>
        <w:keepNext w:val="0"/>
        <w:keepLines w:val="0"/>
        <w:pageBreakBefore w:val="0"/>
        <w:widowControl/>
        <w:suppressLineNumbers w:val="0"/>
        <w:kinsoku/>
        <w:wordWrap/>
        <w:overflowPunct/>
        <w:topLinePunct w:val="0"/>
        <w:bidi w:val="0"/>
        <w:spacing w:line="240" w:lineRule="auto"/>
        <w:ind w:left="0" w:right="0" w:firstLine="420" w:firstLineChars="200"/>
        <w:jc w:val="left"/>
      </w:pPr>
      <w:r>
        <w:rPr>
          <w:rFonts w:hint="default" w:ascii="Times New Roman" w:hAnsi="Times New Roman" w:eastAsia="宋体" w:cs="Times New Roman"/>
          <w:color w:val="000000"/>
          <w:kern w:val="0"/>
          <w:sz w:val="21"/>
          <w:szCs w:val="21"/>
          <w:lang w:val="en-US" w:eastAsia="zh-CN" w:bidi="ar"/>
        </w:rPr>
        <w:t>b</w:t>
      </w:r>
      <w:r>
        <w:rPr>
          <w:rFonts w:hint="eastAsia" w:ascii="宋体" w:hAnsi="宋体" w:eastAsia="宋体" w:cs="宋体"/>
          <w:color w:val="000000"/>
          <w:kern w:val="0"/>
          <w:sz w:val="21"/>
          <w:szCs w:val="21"/>
          <w:lang w:val="en-US" w:eastAsia="zh-CN" w:bidi="ar"/>
        </w:rPr>
        <w:t xml:space="preserve">）根据患者临床资料，做出处方合理性判断的标准。 </w:t>
      </w:r>
    </w:p>
    <w:p>
      <w:pPr>
        <w:pStyle w:val="67"/>
        <w:numPr>
          <w:ilvl w:val="3"/>
          <w:numId w:val="0"/>
        </w:numPr>
        <w:spacing w:before="156" w:after="156"/>
        <w:ind w:leftChars="0"/>
        <w:rPr>
          <w:rFonts w:hint="eastAsia" w:hAnsi="Times New Roman" w:cs="Times New Roman"/>
          <w:lang w:val="en-US" w:eastAsia="zh-CN"/>
        </w:rPr>
      </w:pPr>
      <w:r>
        <w:rPr>
          <w:rFonts w:hint="eastAsia" w:hAnsi="Times New Roman" w:cs="Times New Roman"/>
          <w:lang w:val="en-US" w:eastAsia="zh-CN"/>
        </w:rPr>
        <w:t>5.6.2</w:t>
      </w:r>
      <w:r>
        <w:rPr>
          <w:rFonts w:hint="default" w:hAnsi="Times New Roman" w:cs="Times New Roman"/>
          <w:lang w:val="en-US" w:eastAsia="zh-CN"/>
        </w:rPr>
        <w:t xml:space="preserve"> </w:t>
      </w:r>
      <w:r>
        <w:rPr>
          <w:rFonts w:hint="eastAsia" w:hAnsi="Times New Roman" w:cs="Times New Roman"/>
          <w:lang w:val="en-US" w:eastAsia="zh-CN"/>
        </w:rPr>
        <w:t>处方审核结果评价与质量改进</w:t>
      </w:r>
    </w:p>
    <w:p>
      <w:pPr>
        <w:keepNext w:val="0"/>
        <w:keepLines w:val="0"/>
        <w:pageBreakBefore w:val="0"/>
        <w:widowControl/>
        <w:suppressLineNumbers w:val="0"/>
        <w:kinsoku/>
        <w:wordWrap/>
        <w:overflowPunct/>
        <w:topLinePunct w:val="0"/>
        <w:bidi w:val="0"/>
        <w:spacing w:line="240" w:lineRule="auto"/>
        <w:ind w:left="0" w:right="0" w:firstLine="420" w:firstLineChars="200"/>
        <w:jc w:val="left"/>
      </w:pPr>
      <w:r>
        <w:rPr>
          <w:rFonts w:hint="eastAsia" w:ascii="宋体" w:hAnsi="宋体" w:eastAsia="宋体" w:cs="宋体"/>
          <w:color w:val="000000"/>
          <w:kern w:val="0"/>
          <w:sz w:val="21"/>
          <w:szCs w:val="21"/>
          <w:lang w:val="en-US" w:eastAsia="zh-CN" w:bidi="ar"/>
        </w:rPr>
        <w:t xml:space="preserve">为促进处方审核工作规范性和正确性，应定期对每位药师审核过的处方做抽样评价，并将评价结果反馈每位药师，改进工作质量。评价内容如下： </w:t>
      </w:r>
    </w:p>
    <w:p>
      <w:pPr>
        <w:keepNext w:val="0"/>
        <w:keepLines w:val="0"/>
        <w:pageBreakBefore w:val="0"/>
        <w:widowControl/>
        <w:suppressLineNumbers w:val="0"/>
        <w:kinsoku/>
        <w:wordWrap/>
        <w:overflowPunct/>
        <w:topLinePunct w:val="0"/>
        <w:autoSpaceDE/>
        <w:autoSpaceDN/>
        <w:bidi w:val="0"/>
        <w:adjustRightInd/>
        <w:snapToGrid/>
        <w:spacing w:line="240" w:lineRule="auto"/>
        <w:ind w:left="0" w:right="0" w:firstLine="420" w:firstLineChars="200"/>
        <w:jc w:val="left"/>
        <w:textAlignment w:val="auto"/>
      </w:pPr>
      <w:r>
        <w:rPr>
          <w:rFonts w:hint="default" w:ascii="Times New Roman" w:hAnsi="Times New Roman" w:eastAsia="宋体" w:cs="Times New Roman"/>
          <w:color w:val="000000"/>
          <w:kern w:val="0"/>
          <w:sz w:val="21"/>
          <w:szCs w:val="21"/>
          <w:lang w:val="en-US" w:eastAsia="zh-CN" w:bidi="ar"/>
        </w:rPr>
        <w:t xml:space="preserve">a) </w:t>
      </w:r>
      <w:r>
        <w:rPr>
          <w:rFonts w:hint="eastAsia" w:ascii="宋体" w:hAnsi="宋体" w:eastAsia="宋体" w:cs="宋体"/>
          <w:color w:val="000000"/>
          <w:kern w:val="0"/>
          <w:sz w:val="21"/>
          <w:szCs w:val="21"/>
          <w:lang w:val="en-US" w:eastAsia="zh-CN" w:bidi="ar"/>
        </w:rPr>
        <w:t xml:space="preserve">药师审核过程是否遵守处方审核标准操作规程； </w:t>
      </w:r>
    </w:p>
    <w:p>
      <w:pPr>
        <w:keepNext w:val="0"/>
        <w:keepLines w:val="0"/>
        <w:pageBreakBefore w:val="0"/>
        <w:widowControl/>
        <w:suppressLineNumbers w:val="0"/>
        <w:kinsoku/>
        <w:wordWrap/>
        <w:overflowPunct/>
        <w:topLinePunct w:val="0"/>
        <w:autoSpaceDE/>
        <w:autoSpaceDN/>
        <w:bidi w:val="0"/>
        <w:adjustRightInd/>
        <w:snapToGrid/>
        <w:spacing w:line="240" w:lineRule="auto"/>
        <w:ind w:left="0" w:right="0" w:firstLine="420" w:firstLineChars="200"/>
        <w:jc w:val="left"/>
        <w:textAlignment w:val="auto"/>
        <w:rPr>
          <w:rFonts w:hint="eastAsia" w:ascii="宋体" w:hAnsi="宋体" w:eastAsia="宋体" w:cs="宋体"/>
          <w:color w:val="000000"/>
          <w:kern w:val="0"/>
          <w:sz w:val="21"/>
          <w:szCs w:val="21"/>
          <w:lang w:val="en-US" w:eastAsia="zh-CN" w:bidi="ar"/>
        </w:rPr>
      </w:pPr>
      <w:r>
        <w:rPr>
          <w:rFonts w:hint="default" w:ascii="Times New Roman" w:hAnsi="Times New Roman" w:eastAsia="宋体" w:cs="Times New Roman"/>
          <w:color w:val="000000"/>
          <w:kern w:val="0"/>
          <w:sz w:val="21"/>
          <w:szCs w:val="21"/>
          <w:lang w:val="en-US" w:eastAsia="zh-CN" w:bidi="ar"/>
        </w:rPr>
        <w:t xml:space="preserve">b) </w:t>
      </w:r>
      <w:r>
        <w:rPr>
          <w:rFonts w:hint="eastAsia" w:ascii="宋体" w:hAnsi="宋体" w:eastAsia="宋体" w:cs="宋体"/>
          <w:color w:val="000000"/>
          <w:kern w:val="0"/>
          <w:sz w:val="21"/>
          <w:szCs w:val="21"/>
          <w:lang w:val="en-US" w:eastAsia="zh-CN" w:bidi="ar"/>
        </w:rPr>
        <w:t xml:space="preserve">药师对处方审核系统的审核结果所做判断是否正确。 </w:t>
      </w:r>
    </w:p>
    <w:p>
      <w:pPr>
        <w:keepNext w:val="0"/>
        <w:keepLines w:val="0"/>
        <w:pageBreakBefore w:val="0"/>
        <w:widowControl/>
        <w:suppressLineNumbers w:val="0"/>
        <w:kinsoku/>
        <w:wordWrap/>
        <w:overflowPunct/>
        <w:topLinePunct w:val="0"/>
        <w:bidi w:val="0"/>
        <w:spacing w:line="240" w:lineRule="auto"/>
        <w:ind w:left="0" w:right="0" w:firstLine="420" w:firstLineChars="200"/>
        <w:jc w:val="left"/>
        <w:rPr>
          <w:rFonts w:hint="eastAsia" w:ascii="Times New Roman" w:hAnsi="Times New Roman" w:cs="Times New Roman"/>
          <w:color w:val="0000FF"/>
          <w:kern w:val="0"/>
          <w:sz w:val="21"/>
          <w:szCs w:val="21"/>
          <w:lang w:val="en-US" w:eastAsia="zh-CN" w:bidi="ar"/>
        </w:rPr>
      </w:pPr>
    </w:p>
    <w:p>
      <w:pPr>
        <w:pStyle w:val="67"/>
        <w:numPr>
          <w:ilvl w:val="3"/>
          <w:numId w:val="0"/>
        </w:numPr>
        <w:spacing w:before="156" w:after="156"/>
        <w:ind w:leftChars="0"/>
        <w:rPr>
          <w:rFonts w:hint="eastAsia" w:hAnsi="Times New Roman" w:cs="Times New Roman"/>
          <w:lang w:val="en-US" w:eastAsia="zh-CN"/>
        </w:rPr>
      </w:pPr>
      <w:r>
        <w:rPr>
          <w:rFonts w:hint="eastAsia" w:hAnsi="Times New Roman" w:cs="Times New Roman"/>
          <w:lang w:val="en-US" w:eastAsia="zh-CN"/>
        </w:rPr>
        <w:t xml:space="preserve">5.7绩效评价 </w:t>
      </w:r>
    </w:p>
    <w:p>
      <w:pPr>
        <w:pStyle w:val="67"/>
        <w:numPr>
          <w:ilvl w:val="3"/>
          <w:numId w:val="0"/>
        </w:numPr>
        <w:spacing w:before="156" w:after="156"/>
        <w:ind w:leftChars="0"/>
        <w:rPr>
          <w:rFonts w:hint="eastAsia" w:hAnsi="Times New Roman" w:cs="Times New Roman"/>
          <w:lang w:val="en-US" w:eastAsia="zh-CN"/>
        </w:rPr>
      </w:pPr>
      <w:r>
        <w:rPr>
          <w:rFonts w:hint="eastAsia" w:hAnsi="Times New Roman" w:cs="Times New Roman"/>
          <w:lang w:val="en-US" w:eastAsia="zh-CN"/>
        </w:rPr>
        <w:t>5.7</w:t>
      </w:r>
      <w:r>
        <w:rPr>
          <w:rFonts w:hint="default" w:hAnsi="Times New Roman" w:cs="Times New Roman"/>
          <w:lang w:val="en-US" w:eastAsia="zh-CN"/>
        </w:rPr>
        <w:t xml:space="preserve">.1 </w:t>
      </w:r>
      <w:r>
        <w:rPr>
          <w:rFonts w:hint="eastAsia" w:hAnsi="Times New Roman" w:cs="Times New Roman"/>
          <w:lang w:val="en-US" w:eastAsia="zh-CN"/>
        </w:rPr>
        <w:t xml:space="preserve">审核处方数量 </w:t>
      </w:r>
    </w:p>
    <w:p>
      <w:pPr>
        <w:keepNext w:val="0"/>
        <w:keepLines w:val="0"/>
        <w:pageBreakBefore w:val="0"/>
        <w:widowControl/>
        <w:suppressLineNumbers w:val="0"/>
        <w:kinsoku/>
        <w:wordWrap/>
        <w:overflowPunct/>
        <w:topLinePunct w:val="0"/>
        <w:bidi w:val="0"/>
        <w:spacing w:line="240" w:lineRule="auto"/>
        <w:ind w:left="0" w:right="0" w:firstLine="420" w:firstLineChars="200"/>
        <w:jc w:val="left"/>
      </w:pPr>
      <w:r>
        <w:rPr>
          <w:rFonts w:hint="eastAsia" w:ascii="宋体" w:hAnsi="宋体" w:eastAsia="宋体" w:cs="宋体"/>
          <w:color w:val="000000"/>
          <w:kern w:val="0"/>
          <w:sz w:val="21"/>
          <w:szCs w:val="21"/>
          <w:lang w:val="en-US" w:eastAsia="zh-CN" w:bidi="ar"/>
        </w:rPr>
        <w:t xml:space="preserve">该指标用于评估每位审方药师在一个评价周期内人工审核处方的工作量。 </w:t>
      </w:r>
    </w:p>
    <w:p>
      <w:pPr>
        <w:keepNext w:val="0"/>
        <w:keepLines w:val="0"/>
        <w:pageBreakBefore w:val="0"/>
        <w:widowControl/>
        <w:suppressLineNumbers w:val="0"/>
        <w:kinsoku/>
        <w:wordWrap/>
        <w:overflowPunct/>
        <w:topLinePunct w:val="0"/>
        <w:bidi w:val="0"/>
        <w:spacing w:line="240" w:lineRule="auto"/>
        <w:ind w:left="0" w:right="0" w:firstLine="420" w:firstLineChars="200"/>
        <w:jc w:val="left"/>
      </w:pPr>
      <w:r>
        <w:rPr>
          <w:rFonts w:hint="eastAsia" w:ascii="宋体" w:hAnsi="宋体" w:eastAsia="宋体" w:cs="宋体"/>
          <w:color w:val="000000"/>
          <w:kern w:val="0"/>
          <w:sz w:val="21"/>
          <w:szCs w:val="21"/>
          <w:lang w:val="en-US" w:eastAsia="zh-CN" w:bidi="ar"/>
        </w:rPr>
        <w:t>审核处方数量</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 xml:space="preserve">一个评价周期内每位药师审核处方的数量。每位药师审核处方的数量仅指药师人工 审核的处方数量，不包括经系统审核、未经药师人工审核的处方数量。 </w:t>
      </w:r>
    </w:p>
    <w:p>
      <w:pPr>
        <w:pStyle w:val="67"/>
        <w:numPr>
          <w:ilvl w:val="3"/>
          <w:numId w:val="0"/>
        </w:numPr>
        <w:spacing w:before="156" w:after="156"/>
        <w:ind w:leftChars="0"/>
        <w:rPr>
          <w:rFonts w:hint="eastAsia" w:hAnsi="Times New Roman" w:cs="Times New Roman"/>
          <w:lang w:val="en-US" w:eastAsia="zh-CN"/>
        </w:rPr>
      </w:pPr>
      <w:r>
        <w:rPr>
          <w:rFonts w:hint="eastAsia" w:hAnsi="Times New Roman" w:cs="Times New Roman"/>
          <w:lang w:val="en-US" w:eastAsia="zh-CN"/>
        </w:rPr>
        <w:t>5.7</w:t>
      </w:r>
      <w:r>
        <w:rPr>
          <w:rFonts w:hint="default" w:hAnsi="Times New Roman" w:cs="Times New Roman"/>
          <w:lang w:val="en-US" w:eastAsia="zh-CN"/>
        </w:rPr>
        <w:t xml:space="preserve">.2 </w:t>
      </w:r>
      <w:r>
        <w:rPr>
          <w:rFonts w:hint="eastAsia" w:hAnsi="Times New Roman" w:cs="Times New Roman"/>
          <w:lang w:val="en-US" w:eastAsia="zh-CN"/>
        </w:rPr>
        <w:t xml:space="preserve">处方干预率 </w:t>
      </w:r>
    </w:p>
    <w:p>
      <w:pPr>
        <w:keepNext w:val="0"/>
        <w:keepLines w:val="0"/>
        <w:pageBreakBefore w:val="0"/>
        <w:widowControl/>
        <w:suppressLineNumbers w:val="0"/>
        <w:kinsoku/>
        <w:wordWrap/>
        <w:overflowPunct/>
        <w:topLinePunct w:val="0"/>
        <w:bidi w:val="0"/>
        <w:spacing w:line="240" w:lineRule="auto"/>
        <w:ind w:left="0" w:right="0" w:firstLine="420" w:firstLineChars="200"/>
        <w:jc w:val="left"/>
      </w:pPr>
      <w:r>
        <w:rPr>
          <w:rFonts w:hint="eastAsia" w:ascii="宋体" w:hAnsi="宋体" w:eastAsia="宋体" w:cs="宋体"/>
          <w:color w:val="000000"/>
          <w:kern w:val="0"/>
          <w:sz w:val="21"/>
          <w:szCs w:val="21"/>
          <w:lang w:val="en-US" w:eastAsia="zh-CN" w:bidi="ar"/>
        </w:rPr>
        <w:t xml:space="preserve">药师干预的处方数量即药师退回的全部处方数量，包括退回请医师再次复核签名确认的处方。 </w:t>
      </w:r>
    </w:p>
    <w:p>
      <w:pPr>
        <w:keepNext w:val="0"/>
        <w:keepLines w:val="0"/>
        <w:pageBreakBefore w:val="0"/>
        <w:widowControl/>
        <w:suppressLineNumbers w:val="0"/>
        <w:kinsoku/>
        <w:wordWrap/>
        <w:overflowPunct/>
        <w:topLinePunct w:val="0"/>
        <w:bidi w:val="0"/>
        <w:spacing w:line="240" w:lineRule="auto"/>
        <w:ind w:left="0" w:right="0" w:firstLine="420" w:firstLineChars="200"/>
        <w:jc w:val="left"/>
      </w:pPr>
      <w:r>
        <w:rPr>
          <w:rFonts w:hint="eastAsia" w:ascii="宋体" w:hAnsi="宋体" w:eastAsia="宋体" w:cs="宋体"/>
          <w:color w:val="000000"/>
          <w:kern w:val="0"/>
          <w:sz w:val="21"/>
          <w:szCs w:val="21"/>
          <w:lang w:val="en-US" w:eastAsia="zh-CN" w:bidi="ar"/>
        </w:rPr>
        <w:t xml:space="preserve">该指标用于评估每位处方审核药师在一个评价周期内干预处方的比例。 </w:t>
      </w:r>
    </w:p>
    <w:p>
      <w:pPr>
        <w:keepNext w:val="0"/>
        <w:keepLines w:val="0"/>
        <w:pageBreakBefore w:val="0"/>
        <w:widowControl/>
        <w:suppressLineNumbers w:val="0"/>
        <w:kinsoku/>
        <w:wordWrap/>
        <w:overflowPunct/>
        <w:topLinePunct w:val="0"/>
        <w:bidi w:val="0"/>
        <w:spacing w:line="240" w:lineRule="auto"/>
        <w:ind w:left="0" w:right="0" w:firstLine="420" w:firstLineChars="200"/>
        <w:jc w:val="left"/>
      </w:pPr>
      <w:r>
        <w:rPr>
          <w:rFonts w:hint="eastAsia" w:ascii="宋体" w:hAnsi="宋体" w:eastAsia="宋体" w:cs="宋体"/>
          <w:color w:val="000000"/>
          <w:kern w:val="0"/>
          <w:sz w:val="21"/>
          <w:szCs w:val="21"/>
          <w:lang w:val="en-US" w:eastAsia="zh-CN" w:bidi="ar"/>
        </w:rPr>
        <w:t>处方干预率</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一个评价周期内该药师干预的处方数量</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该评价周期内该药师审核的处方总数量</w:t>
      </w:r>
      <w:r>
        <w:rPr>
          <w:rFonts w:hint="default" w:ascii="Times New Roman" w:hAnsi="Times New Roman" w:eastAsia="宋体" w:cs="Times New Roman"/>
          <w:color w:val="000000"/>
          <w:kern w:val="0"/>
          <w:sz w:val="21"/>
          <w:szCs w:val="21"/>
          <w:lang w:val="en-US" w:eastAsia="zh-CN" w:bidi="ar"/>
        </w:rPr>
        <w:t>×100%</w:t>
      </w:r>
      <w:r>
        <w:rPr>
          <w:rFonts w:hint="eastAsia" w:ascii="宋体" w:hAnsi="宋体" w:eastAsia="宋体" w:cs="宋体"/>
          <w:color w:val="000000"/>
          <w:kern w:val="0"/>
          <w:sz w:val="21"/>
          <w:szCs w:val="21"/>
          <w:lang w:val="en-US" w:eastAsia="zh-CN" w:bidi="ar"/>
        </w:rPr>
        <w:t xml:space="preserve">。 </w:t>
      </w:r>
    </w:p>
    <w:p>
      <w:pPr>
        <w:pStyle w:val="67"/>
        <w:numPr>
          <w:ilvl w:val="3"/>
          <w:numId w:val="0"/>
        </w:numPr>
        <w:spacing w:before="156" w:after="156"/>
        <w:ind w:leftChars="0"/>
        <w:rPr>
          <w:rFonts w:hint="eastAsia" w:hAnsi="Times New Roman" w:cs="Times New Roman"/>
          <w:lang w:val="en-US" w:eastAsia="zh-CN"/>
        </w:rPr>
      </w:pPr>
      <w:r>
        <w:rPr>
          <w:rFonts w:hint="eastAsia" w:hAnsi="Times New Roman" w:cs="Times New Roman"/>
          <w:lang w:val="en-US" w:eastAsia="zh-CN"/>
        </w:rPr>
        <w:t>5.7</w:t>
      </w:r>
      <w:r>
        <w:rPr>
          <w:rFonts w:hint="default" w:hAnsi="Times New Roman" w:cs="Times New Roman"/>
          <w:lang w:val="en-US" w:eastAsia="zh-CN"/>
        </w:rPr>
        <w:t xml:space="preserve">.3 </w:t>
      </w:r>
      <w:r>
        <w:rPr>
          <w:rFonts w:hint="eastAsia" w:hAnsi="Times New Roman" w:cs="Times New Roman"/>
          <w:lang w:val="en-US" w:eastAsia="zh-CN"/>
        </w:rPr>
        <w:t xml:space="preserve">干预处方的医师采纳率 </w:t>
      </w:r>
    </w:p>
    <w:p>
      <w:pPr>
        <w:keepNext w:val="0"/>
        <w:keepLines w:val="0"/>
        <w:pageBreakBefore w:val="0"/>
        <w:widowControl/>
        <w:suppressLineNumbers w:val="0"/>
        <w:kinsoku/>
        <w:wordWrap/>
        <w:overflowPunct/>
        <w:topLinePunct w:val="0"/>
        <w:bidi w:val="0"/>
        <w:spacing w:line="240" w:lineRule="auto"/>
        <w:ind w:left="0" w:right="0" w:firstLine="420" w:firstLineChars="200"/>
        <w:jc w:val="left"/>
      </w:pPr>
      <w:r>
        <w:rPr>
          <w:rFonts w:hint="eastAsia" w:ascii="宋体" w:hAnsi="宋体" w:eastAsia="宋体" w:cs="宋体"/>
          <w:color w:val="000000"/>
          <w:kern w:val="0"/>
          <w:sz w:val="21"/>
          <w:szCs w:val="21"/>
          <w:lang w:val="en-US" w:eastAsia="zh-CN" w:bidi="ar"/>
        </w:rPr>
        <w:t xml:space="preserve">医师采纳药师意见的处方数量，即药师干预的处方里，医师根据药师意见进行了修改的处方数量，不包括药师退回后医师进行再次复核签名确认的处方数量。 </w:t>
      </w:r>
    </w:p>
    <w:p>
      <w:pPr>
        <w:keepNext w:val="0"/>
        <w:keepLines w:val="0"/>
        <w:pageBreakBefore w:val="0"/>
        <w:widowControl/>
        <w:suppressLineNumbers w:val="0"/>
        <w:kinsoku/>
        <w:wordWrap/>
        <w:overflowPunct/>
        <w:topLinePunct w:val="0"/>
        <w:bidi w:val="0"/>
        <w:spacing w:line="240" w:lineRule="auto"/>
        <w:ind w:left="0" w:right="0" w:firstLine="420" w:firstLineChars="200"/>
        <w:jc w:val="left"/>
      </w:pPr>
      <w:r>
        <w:rPr>
          <w:rFonts w:hint="eastAsia" w:ascii="宋体" w:hAnsi="宋体" w:eastAsia="宋体" w:cs="宋体"/>
          <w:color w:val="000000"/>
          <w:kern w:val="0"/>
          <w:sz w:val="21"/>
          <w:szCs w:val="21"/>
          <w:lang w:val="en-US" w:eastAsia="zh-CN" w:bidi="ar"/>
        </w:rPr>
        <w:t xml:space="preserve">该指标用于评估在一个评价周期内，每位处方审核药师干预处方后，医师对药师意见的采纳程度。 </w:t>
      </w:r>
    </w:p>
    <w:p>
      <w:pPr>
        <w:keepNext w:val="0"/>
        <w:keepLines w:val="0"/>
        <w:pageBreakBefore w:val="0"/>
        <w:widowControl/>
        <w:suppressLineNumbers w:val="0"/>
        <w:kinsoku/>
        <w:wordWrap/>
        <w:overflowPunct/>
        <w:topLinePunct w:val="0"/>
        <w:bidi w:val="0"/>
        <w:spacing w:line="240" w:lineRule="auto"/>
        <w:ind w:left="0" w:right="0" w:firstLine="420" w:firstLineChars="200"/>
        <w:jc w:val="left"/>
      </w:pPr>
      <w:r>
        <w:rPr>
          <w:rFonts w:hint="eastAsia" w:ascii="宋体" w:hAnsi="宋体" w:eastAsia="宋体" w:cs="宋体"/>
          <w:color w:val="000000"/>
          <w:kern w:val="0"/>
          <w:sz w:val="21"/>
          <w:szCs w:val="21"/>
          <w:lang w:val="en-US" w:eastAsia="zh-CN" w:bidi="ar"/>
        </w:rPr>
        <w:t>干预处方的医师采纳率</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一个评价周期内医师采纳该药师意见的处方数量</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该评价周期内该药师干预的处方数量</w:t>
      </w:r>
      <w:r>
        <w:rPr>
          <w:rFonts w:hint="default" w:ascii="Times New Roman" w:hAnsi="Times New Roman" w:eastAsia="宋体" w:cs="Times New Roman"/>
          <w:color w:val="000000"/>
          <w:kern w:val="0"/>
          <w:sz w:val="21"/>
          <w:szCs w:val="21"/>
          <w:lang w:val="en-US" w:eastAsia="zh-CN" w:bidi="ar"/>
        </w:rPr>
        <w:t>×100%</w:t>
      </w:r>
      <w:r>
        <w:rPr>
          <w:rFonts w:hint="eastAsia" w:ascii="宋体" w:hAnsi="宋体" w:eastAsia="宋体" w:cs="宋体"/>
          <w:color w:val="000000"/>
          <w:kern w:val="0"/>
          <w:sz w:val="21"/>
          <w:szCs w:val="21"/>
          <w:lang w:val="en-US" w:eastAsia="zh-CN" w:bidi="ar"/>
        </w:rPr>
        <w:t xml:space="preserve">。 </w:t>
      </w:r>
    </w:p>
    <w:p>
      <w:pPr>
        <w:pStyle w:val="67"/>
        <w:numPr>
          <w:ilvl w:val="3"/>
          <w:numId w:val="0"/>
        </w:numPr>
        <w:spacing w:before="156" w:after="156"/>
        <w:ind w:leftChars="0"/>
        <w:rPr>
          <w:rFonts w:hint="eastAsia" w:hAnsi="Times New Roman" w:cs="Times New Roman"/>
          <w:lang w:val="en-US" w:eastAsia="zh-CN"/>
        </w:rPr>
      </w:pPr>
      <w:r>
        <w:rPr>
          <w:rFonts w:hint="eastAsia" w:hAnsi="Times New Roman" w:cs="Times New Roman"/>
          <w:lang w:val="en-US" w:eastAsia="zh-CN"/>
        </w:rPr>
        <w:t>5.7</w:t>
      </w:r>
      <w:r>
        <w:rPr>
          <w:rFonts w:hint="default" w:hAnsi="Times New Roman" w:cs="Times New Roman"/>
          <w:lang w:val="en-US" w:eastAsia="zh-CN"/>
        </w:rPr>
        <w:t xml:space="preserve">.4 </w:t>
      </w:r>
      <w:r>
        <w:rPr>
          <w:rFonts w:hint="eastAsia" w:hAnsi="Times New Roman" w:cs="Times New Roman"/>
          <w:lang w:val="en-US" w:eastAsia="zh-CN"/>
        </w:rPr>
        <w:t xml:space="preserve">平均审核时长 </w:t>
      </w:r>
    </w:p>
    <w:p>
      <w:pPr>
        <w:keepNext w:val="0"/>
        <w:keepLines w:val="0"/>
        <w:pageBreakBefore w:val="0"/>
        <w:widowControl/>
        <w:suppressLineNumbers w:val="0"/>
        <w:kinsoku/>
        <w:wordWrap/>
        <w:overflowPunct/>
        <w:topLinePunct w:val="0"/>
        <w:bidi w:val="0"/>
        <w:spacing w:line="240" w:lineRule="auto"/>
        <w:ind w:left="0" w:right="0" w:firstLine="420" w:firstLineChars="200"/>
        <w:jc w:val="left"/>
      </w:pPr>
      <w:r>
        <w:rPr>
          <w:rFonts w:hint="eastAsia" w:ascii="宋体" w:hAnsi="宋体" w:eastAsia="宋体" w:cs="宋体"/>
          <w:color w:val="000000"/>
          <w:kern w:val="0"/>
          <w:sz w:val="21"/>
          <w:szCs w:val="21"/>
          <w:lang w:val="en-US" w:eastAsia="zh-CN" w:bidi="ar"/>
        </w:rPr>
        <w:t>该指标用于评估每位审</w:t>
      </w:r>
      <w:r>
        <w:rPr>
          <w:rFonts w:hint="eastAsia" w:ascii="宋体" w:hAnsi="宋体" w:cs="宋体"/>
          <w:color w:val="000000"/>
          <w:kern w:val="0"/>
          <w:sz w:val="21"/>
          <w:szCs w:val="21"/>
          <w:lang w:val="en-US" w:eastAsia="zh-CN" w:bidi="ar"/>
        </w:rPr>
        <w:t>方</w:t>
      </w:r>
      <w:r>
        <w:rPr>
          <w:rFonts w:hint="eastAsia" w:ascii="宋体" w:hAnsi="宋体" w:eastAsia="宋体" w:cs="宋体"/>
          <w:color w:val="000000"/>
          <w:kern w:val="0"/>
          <w:sz w:val="21"/>
          <w:szCs w:val="21"/>
          <w:lang w:val="en-US" w:eastAsia="zh-CN" w:bidi="ar"/>
        </w:rPr>
        <w:t xml:space="preserve">药师在一个评价周期内审核每张处方的平均速度。 </w:t>
      </w:r>
    </w:p>
    <w:p>
      <w:pPr>
        <w:keepNext w:val="0"/>
        <w:keepLines w:val="0"/>
        <w:pageBreakBefore w:val="0"/>
        <w:widowControl/>
        <w:suppressLineNumbers w:val="0"/>
        <w:kinsoku/>
        <w:wordWrap/>
        <w:overflowPunct/>
        <w:topLinePunct w:val="0"/>
        <w:bidi w:val="0"/>
        <w:spacing w:line="240" w:lineRule="auto"/>
        <w:ind w:left="0" w:right="0" w:firstLine="420" w:firstLineChars="200"/>
        <w:jc w:val="left"/>
      </w:pPr>
      <w:r>
        <w:rPr>
          <w:rFonts w:hint="eastAsia" w:ascii="宋体" w:hAnsi="宋体" w:eastAsia="宋体" w:cs="宋体"/>
          <w:color w:val="000000"/>
          <w:kern w:val="0"/>
          <w:sz w:val="21"/>
          <w:szCs w:val="21"/>
          <w:lang w:val="en-US" w:eastAsia="zh-CN" w:bidi="ar"/>
        </w:rPr>
        <w:t>平均审核时长</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一个评价周期内药师审核每张处方耗费的时长总和</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 xml:space="preserve">该评价周期内该药师审核处方的数量。 </w:t>
      </w:r>
    </w:p>
    <w:p>
      <w:pPr>
        <w:pStyle w:val="67"/>
        <w:numPr>
          <w:ilvl w:val="3"/>
          <w:numId w:val="0"/>
        </w:numPr>
        <w:spacing w:before="156" w:after="156"/>
        <w:ind w:leftChars="0"/>
        <w:rPr>
          <w:rFonts w:hint="eastAsia" w:hAnsi="Times New Roman" w:cs="Times New Roman"/>
          <w:lang w:val="en-US" w:eastAsia="zh-CN"/>
        </w:rPr>
      </w:pPr>
      <w:r>
        <w:rPr>
          <w:rFonts w:hint="eastAsia" w:hAnsi="Times New Roman" w:cs="Times New Roman"/>
          <w:lang w:val="en-US" w:eastAsia="zh-CN"/>
        </w:rPr>
        <w:t>5.7</w:t>
      </w:r>
      <w:r>
        <w:rPr>
          <w:rFonts w:hint="default" w:hAnsi="Times New Roman" w:cs="Times New Roman"/>
          <w:lang w:val="en-US" w:eastAsia="zh-CN"/>
        </w:rPr>
        <w:t xml:space="preserve">.5 </w:t>
      </w:r>
      <w:r>
        <w:rPr>
          <w:rFonts w:hint="eastAsia" w:hAnsi="Times New Roman" w:cs="Times New Roman"/>
          <w:lang w:val="en-US" w:eastAsia="zh-CN"/>
        </w:rPr>
        <w:t xml:space="preserve">人工审核正确率 </w:t>
      </w:r>
    </w:p>
    <w:p>
      <w:pPr>
        <w:keepNext w:val="0"/>
        <w:keepLines w:val="0"/>
        <w:pageBreakBefore w:val="0"/>
        <w:widowControl/>
        <w:suppressLineNumbers w:val="0"/>
        <w:kinsoku/>
        <w:wordWrap/>
        <w:overflowPunct/>
        <w:topLinePunct w:val="0"/>
        <w:bidi w:val="0"/>
        <w:spacing w:line="240" w:lineRule="auto"/>
        <w:ind w:left="0" w:right="0" w:firstLine="420" w:firstLineChars="200"/>
        <w:jc w:val="left"/>
      </w:pPr>
      <w:r>
        <w:rPr>
          <w:rFonts w:hint="eastAsia" w:ascii="宋体" w:hAnsi="宋体" w:eastAsia="宋体" w:cs="宋体"/>
          <w:color w:val="000000"/>
          <w:kern w:val="0"/>
          <w:sz w:val="21"/>
          <w:szCs w:val="21"/>
          <w:lang w:val="en-US" w:eastAsia="zh-CN" w:bidi="ar"/>
        </w:rPr>
        <w:t>该指标用于评估每位处方审核药师在一个评价周期内审核处方的正确率。按一定比例抽取一个评价周期内药师人工审核的处方，对审核过程和审核结果进行评价。评价结果为人工审核正确和人工审核不正确。</w:t>
      </w:r>
    </w:p>
    <w:p>
      <w:pPr>
        <w:keepNext w:val="0"/>
        <w:keepLines w:val="0"/>
        <w:pageBreakBefore w:val="0"/>
        <w:widowControl/>
        <w:suppressLineNumbers w:val="0"/>
        <w:kinsoku/>
        <w:wordWrap/>
        <w:overflowPunct/>
        <w:topLinePunct w:val="0"/>
        <w:bidi w:val="0"/>
        <w:spacing w:line="240" w:lineRule="auto"/>
        <w:ind w:left="0" w:right="0" w:firstLine="420" w:firstLineChars="200"/>
        <w:jc w:val="left"/>
      </w:pPr>
      <w:r>
        <w:rPr>
          <w:rFonts w:hint="eastAsia" w:ascii="宋体" w:hAnsi="宋体" w:eastAsia="宋体" w:cs="宋体"/>
          <w:color w:val="000000"/>
          <w:kern w:val="0"/>
          <w:sz w:val="21"/>
          <w:szCs w:val="21"/>
          <w:lang w:val="en-US" w:eastAsia="zh-CN" w:bidi="ar"/>
        </w:rPr>
        <w:t>人工审核正确率</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一个评价周期内该药师审核的处方中被评价为人工审核正确的处方数量</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该评价周期内该药师人工审核的处方总数量</w:t>
      </w:r>
      <w:r>
        <w:rPr>
          <w:rFonts w:hint="default" w:ascii="Times New Roman" w:hAnsi="Times New Roman" w:eastAsia="宋体" w:cs="Times New Roman"/>
          <w:color w:val="000000"/>
          <w:kern w:val="0"/>
          <w:sz w:val="21"/>
          <w:szCs w:val="21"/>
          <w:lang w:val="en-US" w:eastAsia="zh-CN" w:bidi="ar"/>
        </w:rPr>
        <w:t>×100%</w:t>
      </w:r>
      <w:r>
        <w:rPr>
          <w:rFonts w:hint="eastAsia" w:ascii="宋体" w:hAnsi="宋体" w:eastAsia="宋体" w:cs="宋体"/>
          <w:color w:val="000000"/>
          <w:kern w:val="0"/>
          <w:sz w:val="21"/>
          <w:szCs w:val="21"/>
          <w:lang w:val="en-US" w:eastAsia="zh-CN" w:bidi="ar"/>
        </w:rPr>
        <w:t xml:space="preserve">。 </w:t>
      </w:r>
    </w:p>
    <w:p>
      <w:pPr>
        <w:pStyle w:val="67"/>
        <w:numPr>
          <w:ilvl w:val="3"/>
          <w:numId w:val="0"/>
        </w:numPr>
        <w:spacing w:before="156" w:after="156"/>
        <w:ind w:leftChars="0"/>
        <w:rPr>
          <w:rFonts w:hint="eastAsia" w:hAnsi="Times New Roman" w:cs="Times New Roman"/>
          <w:lang w:val="en-US" w:eastAsia="zh-CN"/>
        </w:rPr>
      </w:pPr>
      <w:r>
        <w:rPr>
          <w:rFonts w:hint="eastAsia" w:hAnsi="Times New Roman" w:cs="Times New Roman"/>
          <w:lang w:val="en-US" w:eastAsia="zh-CN"/>
        </w:rPr>
        <w:t>5.7</w:t>
      </w:r>
      <w:r>
        <w:rPr>
          <w:rFonts w:hint="default" w:hAnsi="Times New Roman" w:cs="Times New Roman"/>
          <w:lang w:val="en-US" w:eastAsia="zh-CN"/>
        </w:rPr>
        <w:t xml:space="preserve">.6 </w:t>
      </w:r>
      <w:r>
        <w:rPr>
          <w:rFonts w:hint="eastAsia" w:hAnsi="Times New Roman" w:cs="Times New Roman"/>
          <w:lang w:val="en-US" w:eastAsia="zh-CN"/>
        </w:rPr>
        <w:t xml:space="preserve">处方合理率 </w:t>
      </w:r>
    </w:p>
    <w:p>
      <w:pPr>
        <w:keepNext w:val="0"/>
        <w:keepLines w:val="0"/>
        <w:pageBreakBefore w:val="0"/>
        <w:widowControl/>
        <w:suppressLineNumbers w:val="0"/>
        <w:kinsoku/>
        <w:wordWrap/>
        <w:overflowPunct/>
        <w:topLinePunct w:val="0"/>
        <w:bidi w:val="0"/>
        <w:spacing w:line="240" w:lineRule="auto"/>
        <w:ind w:left="0" w:right="0" w:firstLine="420" w:firstLineChars="200"/>
        <w:jc w:val="left"/>
      </w:pPr>
      <w:r>
        <w:rPr>
          <w:rFonts w:hint="eastAsia" w:ascii="宋体" w:hAnsi="宋体" w:eastAsia="宋体" w:cs="宋体"/>
          <w:color w:val="000000"/>
          <w:kern w:val="0"/>
          <w:sz w:val="21"/>
          <w:szCs w:val="21"/>
          <w:lang w:val="en-US" w:eastAsia="zh-CN" w:bidi="ar"/>
        </w:rPr>
        <w:t xml:space="preserve">该指标用于评估医疗机构在一个评价周期内医师开具处方的合理性水平，以及回顾处方审核药师审核处方的正确性。 </w:t>
      </w:r>
    </w:p>
    <w:p>
      <w:pPr>
        <w:keepNext w:val="0"/>
        <w:keepLines w:val="0"/>
        <w:pageBreakBefore w:val="0"/>
        <w:widowControl/>
        <w:suppressLineNumbers w:val="0"/>
        <w:kinsoku/>
        <w:wordWrap/>
        <w:overflowPunct/>
        <w:topLinePunct w:val="0"/>
        <w:bidi w:val="0"/>
        <w:spacing w:line="240" w:lineRule="auto"/>
        <w:ind w:left="0" w:right="0" w:firstLine="420" w:firstLineChars="200"/>
        <w:jc w:val="left"/>
      </w:pPr>
      <w:r>
        <w:rPr>
          <w:rFonts w:hint="eastAsia" w:ascii="宋体" w:hAnsi="宋体" w:eastAsia="宋体" w:cs="宋体"/>
          <w:color w:val="000000"/>
          <w:kern w:val="0"/>
          <w:sz w:val="21"/>
          <w:szCs w:val="21"/>
          <w:lang w:val="en-US" w:eastAsia="zh-CN" w:bidi="ar"/>
        </w:rPr>
        <w:t>处方合理率</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一个评价周期内被评价为合理的处方数</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该评价周期内总处方数</w:t>
      </w:r>
      <w:r>
        <w:rPr>
          <w:rFonts w:hint="default" w:ascii="Times New Roman" w:hAnsi="Times New Roman" w:eastAsia="宋体" w:cs="Times New Roman"/>
          <w:color w:val="000000"/>
          <w:kern w:val="0"/>
          <w:sz w:val="21"/>
          <w:szCs w:val="21"/>
          <w:lang w:val="en-US" w:eastAsia="zh-CN" w:bidi="ar"/>
        </w:rPr>
        <w:t>×100%</w:t>
      </w:r>
      <w:r>
        <w:rPr>
          <w:rFonts w:hint="eastAsia" w:ascii="宋体" w:hAnsi="宋体" w:eastAsia="宋体" w:cs="宋体"/>
          <w:color w:val="000000"/>
          <w:kern w:val="0"/>
          <w:sz w:val="21"/>
          <w:szCs w:val="21"/>
          <w:lang w:val="en-US" w:eastAsia="zh-CN" w:bidi="ar"/>
        </w:rPr>
        <w:t xml:space="preserve">。 </w:t>
      </w:r>
    </w:p>
    <w:p>
      <w:pPr>
        <w:pStyle w:val="106"/>
        <w:keepNext w:val="0"/>
        <w:keepLines w:val="0"/>
        <w:pageBreakBefore w:val="0"/>
        <w:widowControl/>
        <w:numPr>
          <w:ilvl w:val="1"/>
          <w:numId w:val="0"/>
        </w:numPr>
        <w:kinsoku/>
        <w:wordWrap/>
        <w:overflowPunct/>
        <w:topLinePunct w:val="0"/>
        <w:bidi w:val="0"/>
        <w:adjustRightInd/>
        <w:snapToGrid/>
        <w:spacing w:before="0" w:beforeLines="0" w:after="0" w:afterLines="0" w:line="240" w:lineRule="auto"/>
        <w:ind w:left="0" w:leftChars="0" w:right="0" w:firstLine="420" w:firstLineChars="200"/>
        <w:textAlignment w:val="auto"/>
        <w:rPr>
          <w:rFonts w:hint="eastAsia"/>
          <w:lang w:val="en-US" w:eastAsia="zh-CN"/>
        </w:rPr>
      </w:pPr>
    </w:p>
    <w:p>
      <w:pPr>
        <w:pStyle w:val="67"/>
        <w:numPr>
          <w:ilvl w:val="3"/>
          <w:numId w:val="0"/>
        </w:numPr>
        <w:spacing w:before="156" w:after="156"/>
        <w:ind w:leftChars="0"/>
        <w:rPr>
          <w:rFonts w:hint="default" w:hAnsi="Times New Roman" w:cs="Times New Roman"/>
          <w:lang w:val="en-US" w:eastAsia="zh-CN"/>
        </w:rPr>
      </w:pPr>
      <w:r>
        <w:rPr>
          <w:rFonts w:hint="eastAsia" w:hAnsi="Times New Roman" w:cs="Times New Roman"/>
          <w:lang w:val="en-US" w:eastAsia="zh-CN"/>
        </w:rPr>
        <w:t>5.8 持续改进</w:t>
      </w:r>
    </w:p>
    <w:p>
      <w:pPr>
        <w:pStyle w:val="58"/>
        <w:keepNext w:val="0"/>
        <w:keepLines w:val="0"/>
        <w:pageBreakBefore w:val="0"/>
        <w:kinsoku/>
        <w:wordWrap/>
        <w:overflowPunct/>
        <w:topLinePunct w:val="0"/>
        <w:bidi w:val="0"/>
        <w:spacing w:line="240" w:lineRule="auto"/>
        <w:ind w:left="0" w:right="0" w:firstLine="420" w:firstLineChars="200"/>
        <w:rPr>
          <w:rFonts w:hint="eastAsia"/>
          <w:lang w:val="en-US" w:eastAsia="zh-CN"/>
        </w:rPr>
      </w:pPr>
      <w:r>
        <w:rPr>
          <w:rFonts w:hint="eastAsia"/>
          <w:lang w:val="en-US" w:eastAsia="zh-CN"/>
        </w:rPr>
        <w:t>建立不合理处方的反馈机制，并有相应的记录。审方药师应当定期将普遍性和特殊性的问题进行总结分析，优化处方审核的工作流程，提高工作效率。处方医师、医共体各医疗机构的药师应当定期将发现的问题反馈给区域集中审方中心，完善规则设定，促进信息系统的持续改进。</w:t>
      </w:r>
    </w:p>
    <w:p>
      <w:pPr>
        <w:pStyle w:val="58"/>
        <w:keepNext w:val="0"/>
        <w:keepLines w:val="0"/>
        <w:pageBreakBefore w:val="0"/>
        <w:kinsoku/>
        <w:wordWrap/>
        <w:overflowPunct/>
        <w:topLinePunct w:val="0"/>
        <w:bidi w:val="0"/>
        <w:spacing w:line="240" w:lineRule="auto"/>
        <w:ind w:left="0" w:right="0" w:firstLine="420" w:firstLineChars="200"/>
        <w:rPr>
          <w:rFonts w:hint="eastAsia"/>
          <w:lang w:val="en-US" w:eastAsia="zh-CN"/>
        </w:rPr>
      </w:pPr>
      <w:r>
        <w:rPr>
          <w:rFonts w:hint="eastAsia"/>
          <w:lang w:val="en-US" w:eastAsia="zh-CN"/>
        </w:rPr>
        <w:t>针对处方审核中出现的具体问题，建立质量改进机制，并有相应的改进措施与记录。有条件的情况下，运用质量管理工具，每半年进行一个专题的循环改进，并做总结汇报进行持续改进。</w:t>
      </w:r>
    </w:p>
    <w:p>
      <w:pPr>
        <w:pStyle w:val="58"/>
        <w:keepNext w:val="0"/>
        <w:keepLines w:val="0"/>
        <w:pageBreakBefore w:val="0"/>
        <w:kinsoku/>
        <w:wordWrap/>
        <w:overflowPunct/>
        <w:topLinePunct w:val="0"/>
        <w:bidi w:val="0"/>
        <w:spacing w:line="240" w:lineRule="auto"/>
        <w:ind w:left="0" w:right="0" w:firstLine="420" w:firstLineChars="200"/>
        <w:rPr>
          <w:rFonts w:hint="eastAsia"/>
          <w:lang w:val="en-US" w:eastAsia="zh-CN"/>
        </w:rPr>
      </w:pPr>
      <w:r>
        <w:rPr>
          <w:rFonts w:hint="eastAsia"/>
          <w:lang w:val="en-US" w:eastAsia="zh-CN"/>
        </w:rPr>
        <w:t>设立处方审核质量监控指标，包括处方审核率、处方干预率、处方合格率等，对处方审核的数量、质量、效率和效果等进行评价，每半年评估一次。</w:t>
      </w:r>
    </w:p>
    <w:p>
      <w:pPr>
        <w:pStyle w:val="58"/>
        <w:keepNext w:val="0"/>
        <w:keepLines w:val="0"/>
        <w:pageBreakBefore w:val="0"/>
        <w:kinsoku/>
        <w:wordWrap/>
        <w:overflowPunct/>
        <w:topLinePunct w:val="0"/>
        <w:bidi w:val="0"/>
        <w:spacing w:line="240" w:lineRule="auto"/>
        <w:ind w:left="0" w:right="0" w:firstLine="420" w:firstLineChars="200"/>
        <w:rPr>
          <w:rFonts w:hint="eastAsia"/>
          <w:lang w:val="en-US" w:eastAsia="zh-CN"/>
        </w:rPr>
      </w:pPr>
    </w:p>
    <w:p>
      <w:pPr>
        <w:pStyle w:val="67"/>
        <w:numPr>
          <w:ilvl w:val="3"/>
          <w:numId w:val="0"/>
        </w:numPr>
        <w:spacing w:before="156" w:after="156"/>
        <w:ind w:leftChars="0"/>
        <w:rPr>
          <w:rFonts w:hint="eastAsia" w:hAnsi="Times New Roman" w:cs="Times New Roman"/>
          <w:lang w:val="en-US" w:eastAsia="zh-CN"/>
        </w:rPr>
      </w:pPr>
      <w:r>
        <w:rPr>
          <w:rFonts w:hint="eastAsia" w:hAnsi="Times New Roman" w:cs="Times New Roman"/>
          <w:lang w:val="en-US" w:eastAsia="zh-CN"/>
        </w:rPr>
        <w:t>6</w:t>
      </w:r>
      <w:r>
        <w:rPr>
          <w:rFonts w:hint="default" w:hAnsi="Times New Roman" w:cs="Times New Roman"/>
          <w:lang w:val="en-US" w:eastAsia="zh-CN"/>
        </w:rPr>
        <w:t xml:space="preserve"> </w:t>
      </w:r>
      <w:r>
        <w:rPr>
          <w:rFonts w:hint="eastAsia" w:hAnsi="Times New Roman" w:cs="Times New Roman"/>
          <w:lang w:val="en-US" w:eastAsia="zh-CN"/>
        </w:rPr>
        <w:t>信息安全</w:t>
      </w:r>
    </w:p>
    <w:p>
      <w:pPr>
        <w:pStyle w:val="67"/>
        <w:numPr>
          <w:ilvl w:val="3"/>
          <w:numId w:val="0"/>
        </w:numPr>
        <w:spacing w:before="156" w:after="156"/>
        <w:ind w:leftChars="0"/>
        <w:rPr>
          <w:rFonts w:hint="eastAsia" w:hAnsi="Times New Roman" w:cs="Times New Roman"/>
          <w:lang w:val="en-US" w:eastAsia="zh-CN"/>
        </w:rPr>
      </w:pPr>
      <w:r>
        <w:rPr>
          <w:rFonts w:hint="eastAsia" w:hAnsi="Times New Roman" w:cs="Times New Roman"/>
          <w:lang w:val="en-US" w:eastAsia="zh-CN"/>
        </w:rPr>
        <w:t>6</w:t>
      </w:r>
      <w:r>
        <w:rPr>
          <w:rFonts w:hint="default" w:hAnsi="Times New Roman" w:cs="Times New Roman"/>
          <w:lang w:val="en-US" w:eastAsia="zh-CN"/>
        </w:rPr>
        <w:t xml:space="preserve">.1 </w:t>
      </w:r>
      <w:r>
        <w:rPr>
          <w:rFonts w:hint="eastAsia" w:hAnsi="Times New Roman" w:cs="Times New Roman"/>
          <w:lang w:val="en-US" w:eastAsia="zh-CN"/>
        </w:rPr>
        <w:t xml:space="preserve">权限管理 </w:t>
      </w:r>
    </w:p>
    <w:p>
      <w:pPr>
        <w:keepNext w:val="0"/>
        <w:keepLines w:val="0"/>
        <w:pageBreakBefore w:val="0"/>
        <w:widowControl/>
        <w:suppressLineNumbers w:val="0"/>
        <w:kinsoku/>
        <w:wordWrap/>
        <w:overflowPunct/>
        <w:topLinePunct w:val="0"/>
        <w:bidi w:val="0"/>
        <w:snapToGrid/>
        <w:spacing w:line="240" w:lineRule="auto"/>
        <w:ind w:left="0" w:right="0" w:firstLine="420" w:firstLineChars="200"/>
        <w:jc w:val="left"/>
        <w:textAlignment w:val="auto"/>
      </w:pPr>
      <w:r>
        <w:rPr>
          <w:rFonts w:hint="eastAsia" w:ascii="宋体" w:hAnsi="宋体" w:eastAsia="宋体" w:cs="宋体"/>
          <w:color w:val="000000"/>
          <w:kern w:val="0"/>
          <w:sz w:val="21"/>
          <w:szCs w:val="21"/>
          <w:lang w:val="en-US" w:eastAsia="zh-CN" w:bidi="ar"/>
        </w:rPr>
        <w:t xml:space="preserve">根据处方审核人员能够接触到的数据信息的通用性、基础性、重要性和数据来源等制定数据信息的分类规则和标准，明确不同类别数据信息的管理要求。并对参与处方审核的人员进行严格授权，通过姓名或工号的权限设置，对处方审核人员可接触的数据量、数据类型进行约束。 </w:t>
      </w:r>
    </w:p>
    <w:p>
      <w:pPr>
        <w:pStyle w:val="67"/>
        <w:numPr>
          <w:ilvl w:val="3"/>
          <w:numId w:val="0"/>
        </w:numPr>
        <w:spacing w:before="156" w:after="156"/>
        <w:ind w:leftChars="0"/>
        <w:rPr>
          <w:rFonts w:hint="eastAsia" w:hAnsi="Times New Roman" w:cs="Times New Roman"/>
          <w:lang w:val="en-US" w:eastAsia="zh-CN"/>
        </w:rPr>
      </w:pPr>
      <w:r>
        <w:rPr>
          <w:rFonts w:hint="eastAsia" w:hAnsi="Times New Roman" w:cs="Times New Roman"/>
          <w:lang w:val="en-US" w:eastAsia="zh-CN"/>
        </w:rPr>
        <w:t>6</w:t>
      </w:r>
      <w:r>
        <w:rPr>
          <w:rFonts w:hint="default" w:hAnsi="Times New Roman" w:cs="Times New Roman"/>
          <w:lang w:val="en-US" w:eastAsia="zh-CN"/>
        </w:rPr>
        <w:t xml:space="preserve">.2 </w:t>
      </w:r>
      <w:r>
        <w:rPr>
          <w:rFonts w:hint="eastAsia" w:hAnsi="Times New Roman" w:cs="Times New Roman"/>
          <w:lang w:val="en-US" w:eastAsia="zh-CN"/>
        </w:rPr>
        <w:t xml:space="preserve">患者医疗信息保密 </w:t>
      </w:r>
    </w:p>
    <w:p>
      <w:pPr>
        <w:keepNext w:val="0"/>
        <w:keepLines w:val="0"/>
        <w:pageBreakBefore w:val="0"/>
        <w:widowControl/>
        <w:suppressLineNumbers w:val="0"/>
        <w:kinsoku/>
        <w:wordWrap/>
        <w:overflowPunct/>
        <w:topLinePunct w:val="0"/>
        <w:bidi w:val="0"/>
        <w:snapToGrid/>
        <w:spacing w:line="240" w:lineRule="auto"/>
        <w:ind w:left="0" w:right="0" w:firstLine="420" w:firstLineChars="200"/>
        <w:jc w:val="left"/>
        <w:textAlignment w:val="auto"/>
      </w:pPr>
      <w:r>
        <w:rPr>
          <w:rFonts w:hint="eastAsia" w:ascii="宋体" w:hAnsi="宋体" w:eastAsia="宋体" w:cs="宋体"/>
          <w:color w:val="000000"/>
          <w:kern w:val="0"/>
          <w:sz w:val="21"/>
          <w:szCs w:val="21"/>
          <w:lang w:val="en-US" w:eastAsia="zh-CN" w:bidi="ar"/>
        </w:rPr>
        <w:t xml:space="preserve">参与处方审核的人员不得使用各种工具翻拍或传播患者医疗信息；学术目的使用患者医疗信息应注意屏蔽患者敏感信息如姓名、身份证号码、门诊号、病历号等。 </w:t>
      </w:r>
    </w:p>
    <w:p>
      <w:pPr>
        <w:pStyle w:val="67"/>
        <w:numPr>
          <w:ilvl w:val="3"/>
          <w:numId w:val="0"/>
        </w:numPr>
        <w:spacing w:before="156" w:after="156"/>
        <w:ind w:leftChars="0"/>
        <w:rPr>
          <w:rFonts w:hint="eastAsia" w:hAnsi="Times New Roman" w:cs="Times New Roman"/>
          <w:lang w:val="en-US" w:eastAsia="zh-CN"/>
        </w:rPr>
      </w:pPr>
      <w:r>
        <w:rPr>
          <w:rFonts w:hint="eastAsia" w:hAnsi="Times New Roman" w:cs="Times New Roman"/>
          <w:lang w:val="en-US" w:eastAsia="zh-CN"/>
        </w:rPr>
        <w:t>6</w:t>
      </w:r>
      <w:r>
        <w:rPr>
          <w:rFonts w:hint="default" w:hAnsi="Times New Roman" w:cs="Times New Roman"/>
          <w:lang w:val="en-US" w:eastAsia="zh-CN"/>
        </w:rPr>
        <w:t xml:space="preserve">.3 </w:t>
      </w:r>
      <w:r>
        <w:rPr>
          <w:rFonts w:hint="eastAsia" w:hAnsi="Times New Roman" w:cs="Times New Roman"/>
          <w:lang w:val="en-US" w:eastAsia="zh-CN"/>
        </w:rPr>
        <w:t xml:space="preserve">医生处方信息保密 </w:t>
      </w:r>
    </w:p>
    <w:p>
      <w:pPr>
        <w:keepNext w:val="0"/>
        <w:keepLines w:val="0"/>
        <w:pageBreakBefore w:val="0"/>
        <w:widowControl/>
        <w:suppressLineNumbers w:val="0"/>
        <w:kinsoku/>
        <w:wordWrap/>
        <w:overflowPunct/>
        <w:topLinePunct w:val="0"/>
        <w:bidi w:val="0"/>
        <w:snapToGrid/>
        <w:spacing w:line="240" w:lineRule="auto"/>
        <w:ind w:left="0" w:right="0" w:firstLine="420" w:firstLineChars="200"/>
        <w:jc w:val="left"/>
        <w:textAlignment w:val="auto"/>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 xml:space="preserve">医疗信息不支持导出及拷贝；处方审核系统的统计分析功能不支持导出处方医生姓名及工号，如需支持须开通相应权限；对参与处方审核的人员进行法律和道德上的约束和教育。 </w:t>
      </w:r>
    </w:p>
    <w:p>
      <w:pPr>
        <w:keepNext w:val="0"/>
        <w:keepLines w:val="0"/>
        <w:pageBreakBefore w:val="0"/>
        <w:widowControl/>
        <w:suppressLineNumbers w:val="0"/>
        <w:kinsoku/>
        <w:wordWrap/>
        <w:overflowPunct/>
        <w:topLinePunct w:val="0"/>
        <w:bidi w:val="0"/>
        <w:snapToGrid/>
        <w:spacing w:line="240" w:lineRule="auto"/>
        <w:ind w:left="0" w:right="0" w:firstLine="420" w:firstLineChars="200"/>
        <w:jc w:val="left"/>
        <w:textAlignment w:val="auto"/>
        <w:rPr>
          <w:rFonts w:hint="eastAsia" w:ascii="Times New Roman" w:hAnsi="Times New Roman" w:cs="Times New Roman"/>
          <w:color w:val="000000"/>
          <w:kern w:val="0"/>
          <w:sz w:val="21"/>
          <w:szCs w:val="21"/>
          <w:lang w:val="en-US" w:eastAsia="zh-CN" w:bidi="ar"/>
        </w:rPr>
      </w:pPr>
    </w:p>
    <w:p>
      <w:pPr>
        <w:pStyle w:val="67"/>
        <w:numPr>
          <w:ilvl w:val="3"/>
          <w:numId w:val="0"/>
        </w:numPr>
        <w:spacing w:before="156" w:after="156"/>
        <w:ind w:leftChars="0"/>
        <w:rPr>
          <w:rFonts w:hint="eastAsia" w:hAnsi="Times New Roman" w:cs="Times New Roman"/>
          <w:lang w:val="en-US" w:eastAsia="zh-CN"/>
        </w:rPr>
      </w:pPr>
      <w:r>
        <w:rPr>
          <w:rFonts w:hint="eastAsia" w:hAnsi="Times New Roman" w:cs="Times New Roman"/>
          <w:lang w:val="en-US" w:eastAsia="zh-CN"/>
        </w:rPr>
        <w:t>7</w:t>
      </w:r>
      <w:r>
        <w:rPr>
          <w:rFonts w:hint="default" w:hAnsi="Times New Roman" w:cs="Times New Roman"/>
          <w:lang w:val="en-US" w:eastAsia="zh-CN"/>
        </w:rPr>
        <w:t xml:space="preserve"> </w:t>
      </w:r>
      <w:r>
        <w:rPr>
          <w:rFonts w:hint="eastAsia" w:hAnsi="Times New Roman" w:cs="Times New Roman"/>
          <w:lang w:val="en-US" w:eastAsia="zh-CN"/>
        </w:rPr>
        <w:t xml:space="preserve">应急预案 </w:t>
      </w:r>
    </w:p>
    <w:p>
      <w:pPr>
        <w:keepNext w:val="0"/>
        <w:keepLines w:val="0"/>
        <w:pageBreakBefore w:val="0"/>
        <w:widowControl/>
        <w:suppressLineNumbers w:val="0"/>
        <w:kinsoku/>
        <w:wordWrap/>
        <w:overflowPunct/>
        <w:topLinePunct w:val="0"/>
        <w:bidi w:val="0"/>
        <w:snapToGrid/>
        <w:spacing w:line="240" w:lineRule="auto"/>
        <w:ind w:left="0" w:right="0" w:firstLine="420" w:firstLineChars="200"/>
        <w:jc w:val="left"/>
        <w:textAlignment w:val="auto"/>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当软件系统因故障无法重启使用时，</w:t>
      </w:r>
      <w:r>
        <w:rPr>
          <w:rFonts w:hint="eastAsia" w:ascii="宋体" w:hAnsi="宋体" w:cs="宋体"/>
          <w:color w:val="000000"/>
          <w:kern w:val="0"/>
          <w:sz w:val="21"/>
          <w:szCs w:val="21"/>
          <w:lang w:val="en-US" w:eastAsia="zh-CN" w:bidi="ar"/>
        </w:rPr>
        <w:t>区域集中审方中心</w:t>
      </w:r>
      <w:r>
        <w:rPr>
          <w:rFonts w:hint="eastAsia" w:ascii="宋体" w:hAnsi="宋体" w:eastAsia="宋体" w:cs="宋体"/>
          <w:color w:val="000000"/>
          <w:kern w:val="0"/>
          <w:sz w:val="21"/>
          <w:szCs w:val="21"/>
          <w:lang w:val="en-US" w:eastAsia="zh-CN" w:bidi="ar"/>
        </w:rPr>
        <w:t>应根据设置的应急预案及时联系信息主管部门修复故障，并将故障报告给上级管理部门，描述问题、发生时间、预计修复时间。</w:t>
      </w:r>
      <w:r>
        <w:rPr>
          <w:rFonts w:hint="eastAsia" w:ascii="宋体" w:hAnsi="宋体" w:cs="宋体"/>
          <w:color w:val="000000"/>
          <w:kern w:val="0"/>
          <w:sz w:val="21"/>
          <w:szCs w:val="21"/>
          <w:lang w:val="en-US" w:eastAsia="zh-CN" w:bidi="ar"/>
        </w:rPr>
        <w:t>区域集中</w:t>
      </w:r>
      <w:r>
        <w:rPr>
          <w:rFonts w:hint="eastAsia" w:ascii="宋体" w:hAnsi="宋体" w:eastAsia="宋体" w:cs="宋体"/>
          <w:color w:val="000000"/>
          <w:kern w:val="0"/>
          <w:sz w:val="21"/>
          <w:szCs w:val="21"/>
          <w:lang w:val="en-US" w:eastAsia="zh-CN" w:bidi="ar"/>
        </w:rPr>
        <w:t>审</w:t>
      </w:r>
      <w:r>
        <w:rPr>
          <w:rFonts w:hint="eastAsia" w:ascii="宋体" w:hAnsi="宋体" w:cs="宋体"/>
          <w:color w:val="000000"/>
          <w:kern w:val="0"/>
          <w:sz w:val="21"/>
          <w:szCs w:val="21"/>
          <w:lang w:val="en-US" w:eastAsia="zh-CN" w:bidi="ar"/>
        </w:rPr>
        <w:t>方中心</w:t>
      </w:r>
      <w:r>
        <w:rPr>
          <w:rFonts w:hint="eastAsia" w:ascii="宋体" w:hAnsi="宋体" w:eastAsia="宋体" w:cs="宋体"/>
          <w:color w:val="000000"/>
          <w:kern w:val="0"/>
          <w:sz w:val="21"/>
          <w:szCs w:val="21"/>
          <w:lang w:val="en-US" w:eastAsia="zh-CN" w:bidi="ar"/>
        </w:rPr>
        <w:t>应告知</w:t>
      </w:r>
      <w:r>
        <w:rPr>
          <w:rFonts w:hint="eastAsia" w:ascii="宋体" w:hAnsi="宋体" w:cs="宋体"/>
          <w:color w:val="000000"/>
          <w:kern w:val="0"/>
          <w:sz w:val="21"/>
          <w:szCs w:val="21"/>
          <w:lang w:val="en-US" w:eastAsia="zh-CN" w:bidi="ar"/>
        </w:rPr>
        <w:t>医共体</w:t>
      </w:r>
      <w:r>
        <w:rPr>
          <w:rFonts w:hint="eastAsia" w:ascii="宋体" w:hAnsi="宋体" w:eastAsia="宋体" w:cs="宋体"/>
          <w:color w:val="000000"/>
          <w:kern w:val="0"/>
          <w:sz w:val="21"/>
          <w:szCs w:val="21"/>
          <w:lang w:val="en-US" w:eastAsia="zh-CN" w:bidi="ar"/>
        </w:rPr>
        <w:t>相关</w:t>
      </w:r>
      <w:r>
        <w:rPr>
          <w:rFonts w:hint="eastAsia" w:ascii="宋体" w:hAnsi="宋体" w:cs="宋体"/>
          <w:color w:val="000000"/>
          <w:kern w:val="0"/>
          <w:sz w:val="21"/>
          <w:szCs w:val="21"/>
          <w:lang w:val="en-US" w:eastAsia="zh-CN" w:bidi="ar"/>
        </w:rPr>
        <w:t>单位</w:t>
      </w:r>
      <w:r>
        <w:rPr>
          <w:rFonts w:hint="eastAsia" w:ascii="宋体" w:hAnsi="宋体" w:eastAsia="宋体" w:cs="宋体"/>
          <w:color w:val="000000"/>
          <w:kern w:val="0"/>
          <w:sz w:val="21"/>
          <w:szCs w:val="21"/>
          <w:lang w:val="en-US" w:eastAsia="zh-CN" w:bidi="ar"/>
        </w:rPr>
        <w:t>暂停计算机辅助人工处方审核工作。</w:t>
      </w:r>
      <w:r>
        <w:rPr>
          <w:rFonts w:hint="eastAsia" w:ascii="宋体" w:hAnsi="宋体" w:cs="宋体"/>
          <w:color w:val="000000"/>
          <w:kern w:val="0"/>
          <w:sz w:val="21"/>
          <w:szCs w:val="21"/>
          <w:lang w:val="en-US" w:eastAsia="zh-CN" w:bidi="ar"/>
        </w:rPr>
        <w:t>医共体各医疗机构通知本院</w:t>
      </w:r>
      <w:r>
        <w:rPr>
          <w:rFonts w:hint="eastAsia" w:ascii="宋体" w:hAnsi="宋体" w:eastAsia="宋体" w:cs="宋体"/>
          <w:color w:val="000000"/>
          <w:kern w:val="0"/>
          <w:sz w:val="21"/>
          <w:szCs w:val="21"/>
          <w:lang w:val="en-US" w:eastAsia="zh-CN" w:bidi="ar"/>
        </w:rPr>
        <w:t>药学部门的药师暂时承担处方审核工作，直至</w:t>
      </w:r>
      <w:r>
        <w:rPr>
          <w:rFonts w:hint="eastAsia" w:ascii="宋体" w:hAnsi="宋体" w:cs="宋体"/>
          <w:color w:val="000000"/>
          <w:kern w:val="0"/>
          <w:sz w:val="21"/>
          <w:szCs w:val="21"/>
          <w:lang w:val="en-US" w:eastAsia="zh-CN" w:bidi="ar"/>
        </w:rPr>
        <w:t>审方系统</w:t>
      </w:r>
      <w:r>
        <w:rPr>
          <w:rFonts w:hint="eastAsia" w:ascii="宋体" w:hAnsi="宋体" w:eastAsia="宋体" w:cs="宋体"/>
          <w:color w:val="000000"/>
          <w:kern w:val="0"/>
          <w:sz w:val="21"/>
          <w:szCs w:val="21"/>
          <w:lang w:val="en-US" w:eastAsia="zh-CN" w:bidi="ar"/>
        </w:rPr>
        <w:t>工作恢复。</w:t>
      </w:r>
    </w:p>
    <w:p>
      <w:pPr>
        <w:pStyle w:val="27"/>
        <w:rPr>
          <w:rFonts w:hint="eastAsia" w:ascii="宋体" w:hAnsi="宋体" w:eastAsia="宋体" w:cs="宋体"/>
          <w:color w:val="000000"/>
          <w:kern w:val="0"/>
          <w:sz w:val="21"/>
          <w:szCs w:val="21"/>
          <w:lang w:val="en-US" w:eastAsia="zh-CN" w:bidi="ar"/>
        </w:rPr>
      </w:pPr>
    </w:p>
    <w:p>
      <w:pPr>
        <w:rPr>
          <w:rFonts w:hint="eastAsia" w:ascii="宋体" w:hAnsi="宋体" w:eastAsia="宋体" w:cs="宋体"/>
          <w:color w:val="000000"/>
          <w:kern w:val="0"/>
          <w:sz w:val="21"/>
          <w:szCs w:val="21"/>
          <w:lang w:val="en-US" w:eastAsia="zh-CN" w:bidi="ar"/>
        </w:rPr>
      </w:pPr>
    </w:p>
    <w:p>
      <w:pPr>
        <w:pStyle w:val="27"/>
        <w:rPr>
          <w:rFonts w:hint="eastAsia"/>
          <w:lang w:val="en-US" w:eastAsia="zh-CN"/>
        </w:rPr>
      </w:pPr>
    </w:p>
    <w:p>
      <w:pPr>
        <w:rPr>
          <w:rFonts w:hint="eastAsia"/>
          <w:lang w:val="en-US" w:eastAsia="zh-CN"/>
        </w:rPr>
      </w:pPr>
    </w:p>
    <w:p>
      <w:pPr>
        <w:pStyle w:val="27"/>
        <w:rPr>
          <w:rFonts w:hint="eastAsia"/>
          <w:lang w:val="en-US" w:eastAsia="zh-CN"/>
        </w:rPr>
      </w:pPr>
    </w:p>
    <w:p>
      <w:pPr>
        <w:rPr>
          <w:rFonts w:hint="eastAsia"/>
          <w:lang w:val="en-US" w:eastAsia="zh-CN"/>
        </w:rPr>
      </w:pPr>
    </w:p>
    <w:p>
      <w:pPr>
        <w:pStyle w:val="27"/>
        <w:rPr>
          <w:rFonts w:hint="eastAsia"/>
          <w:lang w:val="en-US" w:eastAsia="zh-CN"/>
        </w:rPr>
      </w:pPr>
    </w:p>
    <w:p>
      <w:pPr>
        <w:pStyle w:val="58"/>
        <w:keepNext w:val="0"/>
        <w:keepLines w:val="0"/>
        <w:pageBreakBefore w:val="0"/>
        <w:kinsoku/>
        <w:wordWrap/>
        <w:overflowPunct/>
        <w:topLinePunct w:val="0"/>
        <w:bidi w:val="0"/>
        <w:spacing w:line="240" w:lineRule="auto"/>
        <w:ind w:left="0" w:leftChars="0" w:right="0" w:firstLine="420" w:firstLineChars="200"/>
        <w:rPr>
          <w:rFonts w:hint="eastAsia"/>
          <w:lang w:val="en-US" w:eastAsia="zh-CN"/>
        </w:rPr>
      </w:pPr>
    </w:p>
    <w:p>
      <w:pPr>
        <w:pStyle w:val="58"/>
        <w:keepNext w:val="0"/>
        <w:keepLines w:val="0"/>
        <w:pageBreakBefore w:val="0"/>
        <w:kinsoku/>
        <w:wordWrap/>
        <w:overflowPunct/>
        <w:topLinePunct w:val="0"/>
        <w:bidi w:val="0"/>
        <w:spacing w:line="240" w:lineRule="auto"/>
        <w:ind w:left="0" w:leftChars="0" w:right="0" w:firstLine="420" w:firstLineChars="200"/>
        <w:rPr>
          <w:rFonts w:hint="eastAsia"/>
          <w:lang w:val="en-US" w:eastAsia="zh-CN"/>
        </w:rPr>
      </w:pPr>
    </w:p>
    <w:p>
      <w:pPr>
        <w:pStyle w:val="58"/>
        <w:ind w:firstLine="420"/>
      </w:pPr>
    </w:p>
    <w:p>
      <w:pPr>
        <w:pStyle w:val="201"/>
        <w:rPr>
          <w:vanish w:val="0"/>
        </w:rPr>
        <w:sectPr>
          <w:pgSz w:w="11906" w:h="16838"/>
          <w:pgMar w:top="1928" w:right="1134" w:bottom="1134" w:left="1134" w:header="1418" w:footer="1134" w:gutter="284"/>
          <w:cols w:space="425" w:num="1"/>
          <w:formProt w:val="0"/>
          <w:docGrid w:type="lines" w:linePitch="312" w:charSpace="0"/>
        </w:sectPr>
      </w:pPr>
    </w:p>
    <w:bookmarkEnd w:id="29"/>
    <w:p>
      <w:pPr>
        <w:pStyle w:val="200"/>
        <w:rPr>
          <w:vanish w:val="0"/>
        </w:rPr>
      </w:pPr>
      <w:bookmarkStart w:id="128" w:name="BookMark5"/>
    </w:p>
    <w:p>
      <w:pPr>
        <w:pStyle w:val="201"/>
        <w:rPr>
          <w:vanish w:val="0"/>
        </w:rPr>
      </w:pPr>
    </w:p>
    <w:p>
      <w:pPr>
        <w:pStyle w:val="78"/>
        <w:keepNext w:val="0"/>
        <w:keepLines w:val="0"/>
        <w:pageBreakBefore w:val="0"/>
        <w:kinsoku/>
        <w:topLinePunct w:val="0"/>
        <w:bidi w:val="0"/>
        <w:adjustRightInd/>
        <w:snapToGrid/>
        <w:spacing w:before="0" w:after="0" w:afterLines="0" w:line="240" w:lineRule="auto"/>
        <w:ind w:left="0" w:right="0" w:firstLine="420" w:firstLineChars="200"/>
      </w:pPr>
      <w:bookmarkStart w:id="129" w:name="_Toc165043149"/>
      <w:bookmarkStart w:id="130" w:name="_Toc165043137"/>
      <w:r>
        <w:br w:type="textWrapping"/>
      </w:r>
      <w:bookmarkEnd w:id="128"/>
      <w:bookmarkEnd w:id="129"/>
      <w:bookmarkEnd w:id="130"/>
      <w:bookmarkStart w:id="131" w:name="_Toc165043150"/>
      <w:bookmarkStart w:id="132" w:name="BookMark6"/>
      <w:bookmarkStart w:id="133" w:name="_Toc165043141"/>
      <w:r>
        <w:br w:type="textWrapping"/>
      </w:r>
      <w:bookmarkStart w:id="134" w:name="_Toc164353771"/>
      <w:bookmarkStart w:id="135" w:name="_Toc164325746"/>
      <w:bookmarkStart w:id="136" w:name="_Toc164347976"/>
      <w:bookmarkStart w:id="137" w:name="_Toc164326295"/>
      <w:bookmarkStart w:id="138" w:name="_Toc164325773"/>
      <w:bookmarkStart w:id="139" w:name="_Toc164330371"/>
      <w:bookmarkStart w:id="140" w:name="_Toc164344014"/>
      <w:bookmarkStart w:id="141" w:name="_Toc164326242"/>
      <w:bookmarkStart w:id="142" w:name="_Toc164354053"/>
      <w:bookmarkStart w:id="143" w:name="_Toc160822846"/>
      <w:bookmarkStart w:id="144" w:name="_Toc161172908"/>
      <w:bookmarkStart w:id="145" w:name="_Toc164326083"/>
      <w:bookmarkStart w:id="146" w:name="_Toc161174702"/>
      <w:bookmarkStart w:id="147" w:name="_Toc164326052"/>
      <w:r>
        <w:rPr>
          <w:rFonts w:hint="eastAsia"/>
        </w:rPr>
        <w:t>（规范性）</w:t>
      </w:r>
      <w:r>
        <w:br w:type="textWrapping"/>
      </w:r>
      <w:r>
        <w:rPr>
          <w:rFonts w:hint="eastAsia"/>
          <w:lang w:val="en-US" w:eastAsia="zh-CN"/>
        </w:rPr>
        <w:t>审</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r>
        <w:rPr>
          <w:rFonts w:hint="eastAsia"/>
          <w:lang w:val="en-US" w:eastAsia="zh-CN"/>
        </w:rPr>
        <w:t>方</w:t>
      </w:r>
      <w:r>
        <w:rPr>
          <w:rFonts w:hint="eastAsia"/>
        </w:rPr>
        <w:t>药师培训措施</w:t>
      </w:r>
    </w:p>
    <w:p>
      <w:pPr>
        <w:pStyle w:val="80"/>
        <w:keepNext w:val="0"/>
        <w:keepLines w:val="0"/>
        <w:pageBreakBefore w:val="0"/>
        <w:kinsoku/>
        <w:topLinePunct w:val="0"/>
        <w:bidi w:val="0"/>
        <w:adjustRightInd/>
        <w:snapToGrid/>
        <w:spacing w:before="0" w:beforeLines="0" w:after="0" w:afterLines="0" w:line="240" w:lineRule="auto"/>
        <w:ind w:left="0" w:right="0" w:firstLine="420" w:firstLineChars="200"/>
      </w:pPr>
      <w:r>
        <w:rPr>
          <w:rFonts w:hint="eastAsia"/>
        </w:rPr>
        <w:t>培训对象</w:t>
      </w:r>
    </w:p>
    <w:p>
      <w:pPr>
        <w:pStyle w:val="96"/>
        <w:keepNext w:val="0"/>
        <w:keepLines w:val="0"/>
        <w:pageBreakBefore w:val="0"/>
        <w:numPr>
          <w:ilvl w:val="4"/>
          <w:numId w:val="0"/>
        </w:numPr>
        <w:kinsoku/>
        <w:topLinePunct w:val="0"/>
        <w:bidi w:val="0"/>
        <w:adjustRightInd/>
        <w:snapToGrid/>
        <w:spacing w:before="0" w:beforeLines="0" w:after="0" w:afterLines="0" w:line="240" w:lineRule="auto"/>
        <w:ind w:left="0" w:leftChars="0" w:right="0" w:firstLine="420" w:firstLineChars="200"/>
        <w:rPr>
          <w:rFonts w:hint="eastAsia" w:ascii="宋体" w:hAnsi="宋体" w:eastAsia="宋体" w:cs="Times New Roman"/>
          <w:color w:val="auto"/>
          <w:lang w:val="en-US" w:eastAsia="zh-CN"/>
        </w:rPr>
      </w:pPr>
      <w:r>
        <w:rPr>
          <w:rFonts w:hint="eastAsia" w:ascii="宋体" w:hAnsi="宋体" w:eastAsia="宋体" w:cs="Times New Roman"/>
          <w:color w:val="auto"/>
          <w:lang w:val="en-US" w:eastAsia="zh-CN"/>
        </w:rPr>
        <w:t>具有临床药学、药学、中药学等药学相关专业大专及以上学历、取得药师及以上药学专业技术职务任职资格，具有3年及以上门急诊或病区处方调剂工作经验的药学专业技术人员。</w:t>
      </w:r>
    </w:p>
    <w:p>
      <w:pPr>
        <w:pStyle w:val="80"/>
        <w:keepNext w:val="0"/>
        <w:keepLines w:val="0"/>
        <w:pageBreakBefore w:val="0"/>
        <w:kinsoku/>
        <w:topLinePunct w:val="0"/>
        <w:bidi w:val="0"/>
        <w:adjustRightInd/>
        <w:snapToGrid/>
        <w:spacing w:before="0" w:beforeLines="0" w:after="0" w:afterLines="0" w:line="240" w:lineRule="auto"/>
        <w:ind w:left="0" w:right="0" w:firstLine="420" w:firstLineChars="200"/>
      </w:pPr>
      <w:r>
        <w:rPr>
          <w:rFonts w:hint="eastAsia"/>
        </w:rPr>
        <w:t>培训内容</w:t>
      </w:r>
    </w:p>
    <w:p>
      <w:pPr>
        <w:pStyle w:val="214"/>
        <w:keepNext w:val="0"/>
        <w:keepLines w:val="0"/>
        <w:pageBreakBefore w:val="0"/>
        <w:kinsoku/>
        <w:topLinePunct w:val="0"/>
        <w:bidi w:val="0"/>
        <w:adjustRightInd/>
        <w:snapToGrid/>
        <w:spacing w:before="0" w:beforeLines="0" w:after="0" w:afterLines="0" w:line="240" w:lineRule="auto"/>
        <w:ind w:left="0" w:right="0" w:firstLine="420" w:firstLineChars="200"/>
      </w:pPr>
      <w:r>
        <w:rPr>
          <w:rFonts w:hint="eastAsia"/>
          <w:lang w:val="en-US" w:eastAsia="zh-CN"/>
        </w:rPr>
        <w:t>审方</w:t>
      </w:r>
      <w:r>
        <w:rPr>
          <w:rFonts w:hint="eastAsia"/>
        </w:rPr>
        <w:t>药师通识技能培训：《国家基本药物处方集》、《国家基本药物临床应用指南》、《抗菌药物临床应用指导原则》、处方审核通识、用药交待、药师人文能力、</w:t>
      </w:r>
      <w:r>
        <w:rPr>
          <w:rFonts w:hint="eastAsia"/>
          <w:lang w:eastAsia="zh-CN"/>
        </w:rPr>
        <w:t>审方药师</w:t>
      </w:r>
      <w:r>
        <w:rPr>
          <w:rFonts w:hint="eastAsia"/>
        </w:rPr>
        <w:t>综合技能、医患沟通学、药物治疗管理、社区常见慢性病的药物治疗、用药案例分析、药品临床综合评价、药物经济学、药物流行病学、药物警戒、特殊人群用药管理等。</w:t>
      </w:r>
    </w:p>
    <w:p>
      <w:pPr>
        <w:pStyle w:val="214"/>
        <w:keepNext w:val="0"/>
        <w:keepLines w:val="0"/>
        <w:pageBreakBefore w:val="0"/>
        <w:kinsoku/>
        <w:topLinePunct w:val="0"/>
        <w:bidi w:val="0"/>
        <w:adjustRightInd/>
        <w:snapToGrid/>
        <w:spacing w:before="0" w:beforeLines="0" w:after="0" w:afterLines="0" w:line="240" w:lineRule="auto"/>
        <w:ind w:left="0" w:right="0" w:firstLine="420" w:firstLineChars="200"/>
      </w:pPr>
      <w:r>
        <w:rPr>
          <w:rFonts w:hint="eastAsia"/>
          <w:lang w:eastAsia="zh-CN"/>
        </w:rPr>
        <w:t>审方药师</w:t>
      </w:r>
      <w:r>
        <w:rPr>
          <w:rFonts w:hint="eastAsia"/>
        </w:rPr>
        <w:t>专科技能培训：高血压病的药物治疗管理；糖尿病的药物治疗管理；慢性阻塞性肺疾病的药物治疗管理；肿瘤疾病的药物治疗管理等。</w:t>
      </w:r>
    </w:p>
    <w:p>
      <w:pPr>
        <w:pStyle w:val="80"/>
        <w:keepNext w:val="0"/>
        <w:keepLines w:val="0"/>
        <w:pageBreakBefore w:val="0"/>
        <w:kinsoku/>
        <w:topLinePunct w:val="0"/>
        <w:bidi w:val="0"/>
        <w:adjustRightInd/>
        <w:snapToGrid/>
        <w:spacing w:before="0" w:beforeLines="0" w:after="0" w:afterLines="0" w:line="240" w:lineRule="auto"/>
        <w:ind w:left="0" w:right="0" w:firstLine="420" w:firstLineChars="200"/>
      </w:pPr>
      <w:r>
        <w:rPr>
          <w:rFonts w:hint="eastAsia"/>
        </w:rPr>
        <w:t>培训形式</w:t>
      </w:r>
    </w:p>
    <w:p>
      <w:pPr>
        <w:pStyle w:val="58"/>
        <w:keepNext w:val="0"/>
        <w:keepLines w:val="0"/>
        <w:pageBreakBefore w:val="0"/>
        <w:kinsoku/>
        <w:topLinePunct w:val="0"/>
        <w:bidi w:val="0"/>
        <w:adjustRightInd/>
        <w:snapToGrid/>
        <w:spacing w:line="240" w:lineRule="auto"/>
        <w:ind w:left="0" w:right="0" w:firstLine="420" w:firstLineChars="200"/>
      </w:pPr>
      <w:r>
        <w:rPr>
          <w:rFonts w:hint="eastAsia"/>
        </w:rPr>
        <w:t>采取线上教学、线下授课实践相结合的方式，完成全部线上教学课程并通过测试者，方可参加线下集中授课实践，实训考核合格者颁发</w:t>
      </w:r>
      <w:r>
        <w:rPr>
          <w:rFonts w:hint="eastAsia"/>
          <w:lang w:eastAsia="zh-CN"/>
        </w:rPr>
        <w:t>审方药师</w:t>
      </w:r>
      <w:r>
        <w:rPr>
          <w:rFonts w:hint="eastAsia"/>
        </w:rPr>
        <w:t>岗位培训结业证书。每次培训计2～3个学分，培训采用学分制，在规定的周期内（如一年）需修满规定的学分，方可完成培训。</w:t>
      </w:r>
    </w:p>
    <w:p>
      <w:pPr>
        <w:pStyle w:val="80"/>
        <w:keepNext w:val="0"/>
        <w:keepLines w:val="0"/>
        <w:pageBreakBefore w:val="0"/>
        <w:kinsoku/>
        <w:topLinePunct w:val="0"/>
        <w:bidi w:val="0"/>
        <w:adjustRightInd/>
        <w:snapToGrid/>
        <w:spacing w:before="0" w:beforeLines="0" w:after="0" w:afterLines="0" w:line="240" w:lineRule="auto"/>
        <w:ind w:left="0" w:right="0" w:firstLine="420" w:firstLineChars="200"/>
      </w:pPr>
      <w:r>
        <w:rPr>
          <w:rFonts w:hint="eastAsia"/>
        </w:rPr>
        <w:t>人员管理</w:t>
      </w:r>
    </w:p>
    <w:p>
      <w:pPr>
        <w:pStyle w:val="58"/>
        <w:keepNext w:val="0"/>
        <w:keepLines w:val="0"/>
        <w:pageBreakBefore w:val="0"/>
        <w:kinsoku/>
        <w:topLinePunct w:val="0"/>
        <w:bidi w:val="0"/>
        <w:adjustRightInd/>
        <w:snapToGrid/>
        <w:spacing w:line="240" w:lineRule="auto"/>
        <w:ind w:left="0" w:right="0" w:firstLine="420" w:firstLineChars="200"/>
      </w:pPr>
      <w:r>
        <w:rPr>
          <w:rFonts w:hint="eastAsia"/>
        </w:rPr>
        <w:t>经培训并取得结业证书的</w:t>
      </w:r>
      <w:r>
        <w:rPr>
          <w:rFonts w:hint="eastAsia"/>
          <w:lang w:eastAsia="zh-CN"/>
        </w:rPr>
        <w:t>审方药师</w:t>
      </w:r>
      <w:r>
        <w:rPr>
          <w:rFonts w:hint="eastAsia"/>
        </w:rPr>
        <w:t>，实行积分注册管理，每年需完成一定学分的在线继续医学教育或线下实训培训班等学习任务。取得国家（中国医院协会、中华医学会、中华中医药学会等组织的）临床药师（含中药临床药师）岗位培训证书的临床药师，可直接申请参加线下集中授课实践。</w:t>
      </w:r>
    </w:p>
    <w:p>
      <w:pPr>
        <w:pStyle w:val="80"/>
        <w:keepNext w:val="0"/>
        <w:keepLines w:val="0"/>
        <w:pageBreakBefore w:val="0"/>
        <w:kinsoku/>
        <w:topLinePunct w:val="0"/>
        <w:bidi w:val="0"/>
        <w:adjustRightInd/>
        <w:snapToGrid/>
        <w:spacing w:before="0" w:beforeLines="0" w:after="0" w:afterLines="0" w:line="240" w:lineRule="auto"/>
        <w:ind w:left="0" w:right="0" w:firstLine="420" w:firstLineChars="200"/>
      </w:pPr>
      <w:r>
        <w:rPr>
          <w:rFonts w:hint="eastAsia"/>
        </w:rPr>
        <w:t>培训师资</w:t>
      </w:r>
    </w:p>
    <w:p>
      <w:pPr>
        <w:pStyle w:val="58"/>
        <w:keepNext w:val="0"/>
        <w:keepLines w:val="0"/>
        <w:pageBreakBefore w:val="0"/>
        <w:kinsoku/>
        <w:topLinePunct w:val="0"/>
        <w:bidi w:val="0"/>
        <w:adjustRightInd/>
        <w:snapToGrid/>
        <w:spacing w:line="240" w:lineRule="auto"/>
        <w:ind w:left="0" w:right="0" w:firstLine="420" w:firstLineChars="200"/>
      </w:pPr>
      <w:r>
        <w:rPr>
          <w:rFonts w:hint="eastAsia"/>
          <w:lang w:eastAsia="zh-CN"/>
        </w:rPr>
        <w:t>审方药师</w:t>
      </w:r>
      <w:r>
        <w:rPr>
          <w:rFonts w:hint="eastAsia"/>
        </w:rPr>
        <w:t>培训师资应包括：高校临床药学专业教师（副教授以上职称）、三级综合医院药师（副高以上职称）、三级综合医院临床医师（副高以上职称）、</w:t>
      </w:r>
      <w:r>
        <w:rPr>
          <w:rFonts w:hint="eastAsia"/>
          <w:highlight w:val="none"/>
        </w:rPr>
        <w:t>二级以上心理咨询师</w:t>
      </w:r>
      <w:r>
        <w:rPr>
          <w:rFonts w:hint="eastAsia"/>
        </w:rPr>
        <w:t>等。</w:t>
      </w:r>
    </w:p>
    <w:p>
      <w:pPr>
        <w:pStyle w:val="80"/>
        <w:keepNext w:val="0"/>
        <w:keepLines w:val="0"/>
        <w:pageBreakBefore w:val="0"/>
        <w:kinsoku/>
        <w:topLinePunct w:val="0"/>
        <w:bidi w:val="0"/>
        <w:adjustRightInd/>
        <w:snapToGrid/>
        <w:spacing w:before="0" w:beforeLines="0" w:after="0" w:afterLines="0" w:line="240" w:lineRule="auto"/>
        <w:ind w:left="0" w:right="0" w:firstLine="420" w:firstLineChars="200"/>
      </w:pPr>
      <w:r>
        <w:rPr>
          <w:rFonts w:hint="eastAsia"/>
        </w:rPr>
        <w:t>培训考核</w:t>
      </w:r>
    </w:p>
    <w:p>
      <w:pPr>
        <w:pStyle w:val="58"/>
        <w:keepNext w:val="0"/>
        <w:keepLines w:val="0"/>
        <w:pageBreakBefore w:val="0"/>
        <w:kinsoku/>
        <w:topLinePunct w:val="0"/>
        <w:bidi w:val="0"/>
        <w:adjustRightInd/>
        <w:snapToGrid/>
        <w:spacing w:line="240" w:lineRule="auto"/>
        <w:ind w:left="0" w:right="0" w:firstLine="420" w:firstLineChars="200"/>
        <w:rPr>
          <w:rFonts w:hint="eastAsia"/>
          <w:lang w:val="en-US" w:eastAsia="zh-CN"/>
        </w:rPr>
      </w:pPr>
      <w:r>
        <w:rPr>
          <w:rFonts w:hint="eastAsia"/>
          <w:lang w:val="en-US" w:eastAsia="zh-CN"/>
        </w:rPr>
        <w:t>审方药师应接受处方审核相应岗位的专业知识培训并考核合格。已上岗人员应每年进行再培训及考核，并建立培训及考核档案。</w:t>
      </w:r>
    </w:p>
    <w:p>
      <w:pPr>
        <w:pStyle w:val="58"/>
        <w:keepNext w:val="0"/>
        <w:keepLines w:val="0"/>
        <w:pageBreakBefore w:val="0"/>
        <w:kinsoku/>
        <w:topLinePunct w:val="0"/>
        <w:bidi w:val="0"/>
        <w:adjustRightInd/>
        <w:snapToGrid/>
        <w:spacing w:line="240" w:lineRule="auto"/>
        <w:ind w:left="0" w:right="0" w:firstLine="420" w:firstLineChars="200"/>
        <w:rPr>
          <w:rFonts w:hint="eastAsia"/>
          <w:lang w:val="en-US" w:eastAsia="zh-CN"/>
        </w:rPr>
      </w:pPr>
      <w:r>
        <w:rPr>
          <w:rFonts w:hint="eastAsia"/>
          <w:lang w:val="en-US" w:eastAsia="zh-CN"/>
        </w:rPr>
        <w:t>中心人员培训内容应包括：相关法律、法规、政策，职业道德，工作制度和岗位职责，本岗位的特殊要求及操作规程等；药学基本理论、基本知识和基本技能；从事中药处方审核的药师，还应当培训中医药基本理论、基本知识和基本技能；其他培训，如参与临床药物治疗、查房、会诊、疑难危重病例、死亡病例讨论以及临床疾病诊疗知识培训，参加院内、外举办的相关会议、学术论坛及培训班等。</w:t>
      </w:r>
    </w:p>
    <w:p>
      <w:pPr>
        <w:pStyle w:val="58"/>
        <w:keepNext w:val="0"/>
        <w:keepLines w:val="0"/>
        <w:pageBreakBefore w:val="0"/>
        <w:kinsoku/>
        <w:topLinePunct w:val="0"/>
        <w:bidi w:val="0"/>
        <w:adjustRightInd/>
        <w:snapToGrid/>
        <w:spacing w:line="240" w:lineRule="auto"/>
        <w:ind w:left="0" w:right="0" w:firstLine="420" w:firstLineChars="200"/>
        <w:rPr>
          <w:rFonts w:hint="eastAsia"/>
          <w:lang w:val="en-US" w:eastAsia="zh-CN"/>
        </w:rPr>
      </w:pPr>
      <w:r>
        <w:rPr>
          <w:rFonts w:hint="eastAsia"/>
          <w:lang w:val="en-US" w:eastAsia="zh-CN"/>
        </w:rPr>
        <w:t>中心审方药师需定期到所服务的各医疗机构，与各医疗机构的医师、药师进行沟通、讨论，对疑难问题进行技术指导，并定期进行培训，持续提高区域内医疗机构的整体合理用药水平。</w:t>
      </w:r>
    </w:p>
    <w:p>
      <w:pPr>
        <w:pStyle w:val="134"/>
        <w:keepNext w:val="0"/>
        <w:keepLines w:val="0"/>
        <w:pageBreakBefore w:val="0"/>
        <w:numPr>
          <w:ilvl w:val="0"/>
          <w:numId w:val="0"/>
        </w:numPr>
        <w:kinsoku/>
        <w:topLinePunct w:val="0"/>
        <w:bidi w:val="0"/>
        <w:spacing w:line="360" w:lineRule="auto"/>
        <w:ind w:left="0" w:right="0" w:firstLine="420" w:firstLineChars="200"/>
      </w:pPr>
    </w:p>
    <w:p>
      <w:pPr>
        <w:pStyle w:val="65"/>
        <w:spacing w:after="156"/>
        <w:rPr>
          <w:rFonts w:hint="eastAsia"/>
          <w:spacing w:val="105"/>
        </w:rPr>
      </w:pPr>
      <w:bookmarkStart w:id="148" w:name="_Toc164325749"/>
      <w:bookmarkStart w:id="149" w:name="_Toc164347979"/>
      <w:bookmarkStart w:id="150" w:name="_Toc164353775"/>
      <w:bookmarkStart w:id="151" w:name="_Toc164330374"/>
      <w:bookmarkStart w:id="152" w:name="_Toc164326055"/>
      <w:bookmarkStart w:id="153" w:name="_Toc164326086"/>
      <w:bookmarkStart w:id="154" w:name="_Toc164354057"/>
      <w:bookmarkStart w:id="155" w:name="_Toc164325776"/>
      <w:bookmarkStart w:id="156" w:name="_Toc164326298"/>
      <w:bookmarkStart w:id="157" w:name="_Toc164344017"/>
      <w:bookmarkStart w:id="158" w:name="_Toc164326245"/>
    </w:p>
    <w:p>
      <w:pPr>
        <w:pStyle w:val="65"/>
        <w:spacing w:after="156"/>
        <w:rPr>
          <w:rFonts w:hint="eastAsia"/>
          <w:spacing w:val="105"/>
        </w:rPr>
      </w:pPr>
    </w:p>
    <w:p>
      <w:pPr>
        <w:pStyle w:val="65"/>
        <w:spacing w:after="156"/>
        <w:rPr>
          <w:rFonts w:hint="eastAsia"/>
          <w:spacing w:val="105"/>
        </w:rPr>
      </w:pPr>
    </w:p>
    <w:p>
      <w:pPr>
        <w:pStyle w:val="65"/>
        <w:spacing w:after="156"/>
      </w:pPr>
      <w:r>
        <w:rPr>
          <w:rFonts w:hint="eastAsia"/>
          <w:spacing w:val="105"/>
        </w:rPr>
        <w:t>参考文</w:t>
      </w:r>
      <w:r>
        <w:rPr>
          <w:rFonts w:hint="eastAsia"/>
        </w:rPr>
        <w:t>献</w:t>
      </w:r>
      <w:bookmarkEnd w:id="148"/>
      <w:bookmarkEnd w:id="149"/>
      <w:bookmarkEnd w:id="150"/>
      <w:bookmarkEnd w:id="151"/>
      <w:bookmarkEnd w:id="152"/>
      <w:bookmarkEnd w:id="153"/>
      <w:bookmarkEnd w:id="154"/>
      <w:bookmarkEnd w:id="155"/>
      <w:bookmarkEnd w:id="156"/>
      <w:bookmarkEnd w:id="157"/>
      <w:bookmarkEnd w:id="158"/>
    </w:p>
    <w:p>
      <w:pPr>
        <w:pStyle w:val="111"/>
        <w:rPr>
          <w:rFonts w:hint="eastAsia" w:ascii="宋体" w:hAnsi="Times New Roman" w:eastAsia="宋体" w:cs="Times New Roman"/>
        </w:rPr>
      </w:pPr>
      <w:r>
        <w:rPr>
          <w:rFonts w:hint="eastAsia" w:ascii="宋体" w:hAnsi="Times New Roman" w:eastAsia="宋体" w:cs="Times New Roman"/>
        </w:rPr>
        <w:t xml:space="preserve">国务院办公厅.国务院办公厅关于印发全国医疗卫生服务体系规划纲要(2015-2020年)的通知:国办发〔2015〕14号[S].国务院办公厅,2015-03-06. </w:t>
      </w:r>
    </w:p>
    <w:p>
      <w:pPr>
        <w:pStyle w:val="111"/>
        <w:rPr>
          <w:rFonts w:hint="eastAsia" w:ascii="宋体" w:hAnsi="Times New Roman" w:eastAsia="宋体" w:cs="Times New Roman"/>
        </w:rPr>
      </w:pPr>
      <w:r>
        <w:rPr>
          <w:rFonts w:hint="eastAsia" w:ascii="宋体" w:hAnsi="Times New Roman" w:eastAsia="宋体" w:cs="Times New Roman"/>
        </w:rPr>
        <w:t>工业和信息化部办公厅,国家卫生健康委办公厅.工业和信息化部办公厅国家卫生健康委办公厅关于进一步加强远程医疗网络能力建设的通知:工信厅联通信函〔2020〕251号[S]工业和信息化部办公厅,国家卫生健康委办公厅.2020-10-22.</w:t>
      </w:r>
    </w:p>
    <w:p>
      <w:pPr>
        <w:pStyle w:val="111"/>
        <w:rPr>
          <w:rFonts w:hint="eastAsia" w:ascii="宋体" w:hAnsi="Times New Roman" w:eastAsia="宋体" w:cs="Times New Roman"/>
        </w:rPr>
      </w:pPr>
      <w:r>
        <w:rPr>
          <w:rFonts w:hint="default" w:ascii="宋体" w:hAnsi="Times New Roman" w:eastAsia="宋体" w:cs="Times New Roman"/>
          <w:lang w:val="en-US" w:eastAsia="zh-CN"/>
        </w:rPr>
        <w:t>[3]</w:t>
      </w:r>
      <w:r>
        <w:rPr>
          <w:rFonts w:hint="eastAsia" w:ascii="宋体" w:hAnsi="Times New Roman" w:eastAsia="宋体" w:cs="Times New Roman"/>
          <w:lang w:val="en-US" w:eastAsia="zh-CN"/>
        </w:rPr>
        <w:t xml:space="preserve">中国医院协会药事专业委员会：医疗机构药学服务规范 </w:t>
      </w:r>
      <w:r>
        <w:rPr>
          <w:rFonts w:hint="default" w:ascii="宋体" w:hAnsi="Times New Roman" w:eastAsia="宋体" w:cs="Times New Roman"/>
          <w:lang w:val="en-US" w:eastAsia="zh-CN"/>
        </w:rPr>
        <w:t>[EB/OL].[2019-12-13].临床药学服务处方审核</w:t>
      </w:r>
    </w:p>
    <w:p>
      <w:pPr>
        <w:pStyle w:val="111"/>
        <w:rPr>
          <w:rFonts w:hint="eastAsia" w:ascii="宋体" w:hAnsi="Times New Roman" w:eastAsia="宋体" w:cs="Times New Roman"/>
        </w:rPr>
      </w:pPr>
      <w:r>
        <w:rPr>
          <w:rFonts w:hint="default" w:ascii="宋体" w:hAnsi="Times New Roman" w:eastAsia="宋体" w:cs="Times New Roman"/>
          <w:lang w:val="en-US" w:eastAsia="zh-CN"/>
        </w:rPr>
        <w:t>[4]</w:t>
      </w:r>
      <w:r>
        <w:rPr>
          <w:rFonts w:hint="eastAsia" w:ascii="宋体" w:hAnsi="Times New Roman" w:eastAsia="宋体" w:cs="Times New Roman"/>
          <w:lang w:val="en-US" w:eastAsia="zh-CN"/>
        </w:rPr>
        <w:t>中华人民共和国卫生部：医院处方点评管理规范（试行）</w:t>
      </w:r>
      <w:r>
        <w:rPr>
          <w:rFonts w:hint="default" w:ascii="宋体" w:hAnsi="Times New Roman" w:eastAsia="宋体" w:cs="Times New Roman"/>
          <w:lang w:val="en-US" w:eastAsia="zh-CN"/>
        </w:rPr>
        <w:t>.</w:t>
      </w:r>
      <w:r>
        <w:rPr>
          <w:rFonts w:hint="eastAsia" w:ascii="宋体" w:hAnsi="Times New Roman" w:eastAsia="宋体" w:cs="Times New Roman"/>
          <w:lang w:val="en-US" w:eastAsia="zh-CN"/>
        </w:rPr>
        <w:t>卫医管发〔</w:t>
      </w:r>
      <w:r>
        <w:rPr>
          <w:rFonts w:hint="default" w:ascii="宋体" w:hAnsi="Times New Roman" w:eastAsia="宋体" w:cs="Times New Roman"/>
          <w:lang w:val="en-US" w:eastAsia="zh-CN"/>
        </w:rPr>
        <w:t>2010</w:t>
      </w:r>
      <w:r>
        <w:rPr>
          <w:rFonts w:hint="eastAsia" w:ascii="宋体" w:hAnsi="Times New Roman" w:eastAsia="宋体" w:cs="Times New Roman"/>
          <w:lang w:val="en-US" w:eastAsia="zh-CN"/>
        </w:rPr>
        <w:t>〕</w:t>
      </w:r>
      <w:r>
        <w:rPr>
          <w:rFonts w:hint="default" w:ascii="宋体" w:hAnsi="Times New Roman" w:eastAsia="宋体" w:cs="Times New Roman"/>
          <w:lang w:val="en-US" w:eastAsia="zh-CN"/>
        </w:rPr>
        <w:t>28</w:t>
      </w:r>
      <w:r>
        <w:rPr>
          <w:rFonts w:hint="eastAsia" w:ascii="宋体" w:hAnsi="Times New Roman" w:eastAsia="宋体" w:cs="Times New Roman"/>
          <w:lang w:val="en-US" w:eastAsia="zh-CN"/>
        </w:rPr>
        <w:t>号</w:t>
      </w:r>
      <w:r>
        <w:rPr>
          <w:rFonts w:hint="default" w:ascii="宋体" w:hAnsi="Times New Roman" w:eastAsia="宋体" w:cs="Times New Roman"/>
          <w:lang w:val="en-US" w:eastAsia="zh-CN"/>
        </w:rPr>
        <w:t xml:space="preserve">.F </w:t>
      </w:r>
    </w:p>
    <w:p>
      <w:pPr>
        <w:pStyle w:val="58"/>
        <w:ind w:firstLine="0" w:firstLineChars="0"/>
      </w:pPr>
    </w:p>
    <w:bookmarkEnd w:id="131"/>
    <w:bookmarkEnd w:id="132"/>
    <w:bookmarkEnd w:id="133"/>
    <w:p>
      <w:pPr>
        <w:pStyle w:val="58"/>
        <w:ind w:firstLine="0" w:firstLineChars="0"/>
        <w:jc w:val="center"/>
      </w:pPr>
      <w:bookmarkStart w:id="159" w:name="BookMark8"/>
      <w:r>
        <w:rPr>
          <w:rFonts w:hint="eastAsia"/>
        </w:rPr>
        <w:drawing>
          <wp:inline distT="0" distB="0" distL="0" distR="0">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18">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159"/>
      <w:r>
        <w:t xml:space="preserve"> </w:t>
      </w:r>
    </w:p>
    <w:sectPr>
      <w:pgSz w:w="11906" w:h="16838"/>
      <w:pgMar w:top="1928"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4"/>
    </w:pPr>
    <w:r>
      <w:fldChar w:fldCharType="begin"/>
    </w:r>
    <w:r>
      <w:instrText xml:space="preserve">PAGE   \* MERGEFORMAT</w:instrText>
    </w:r>
    <w:r>
      <w:fldChar w:fldCharType="separate"/>
    </w:r>
    <w:r>
      <w:rPr>
        <w:lang w:val="zh-CN"/>
      </w:rPr>
      <w:t>1</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4"/>
    </w:pPr>
    <w:r>
      <w:fldChar w:fldCharType="begin"/>
    </w:r>
    <w:r>
      <w:instrText xml:space="preserve">PAGE   \* MERGEFORMAT</w:instrText>
    </w:r>
    <w:r>
      <w:fldChar w:fldCharType="separate"/>
    </w:r>
    <w:r>
      <w:rPr>
        <w:lang w:val="zh-CN"/>
      </w:rPr>
      <w:t>III</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3"/>
    </w:pPr>
    <w:r>
      <w:fldChar w:fldCharType="begin"/>
    </w:r>
    <w:r>
      <w:instrText xml:space="preserve"> STYLEREF  标准文件_文件编号  \* MERGEFORMAT </w:instrText>
    </w:r>
    <w:r>
      <w:fldChar w:fldCharType="separate"/>
    </w:r>
    <w:r>
      <w:t>DB 32/T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jc w:val="right"/>
      <w:rPr>
        <w:lang w:val="fr-FR"/>
      </w:rPr>
    </w:pPr>
    <w:r>
      <w:fldChar w:fldCharType="begin"/>
    </w:r>
    <w:r>
      <w:rPr>
        <w:lang w:val="fr-FR"/>
      </w:rPr>
      <w:instrText xml:space="preserve"> STYLEREF  </w:instrText>
    </w:r>
    <w:r>
      <w:instrText xml:space="preserve">标准文件</w:instrText>
    </w:r>
    <w:r>
      <w:rPr>
        <w:lang w:val="fr-FR"/>
      </w:rPr>
      <w:instrText xml:space="preserve">_</w:instrText>
    </w:r>
    <w:r>
      <w:instrText xml:space="preserve">文件编号</w:instrText>
    </w:r>
    <w:r>
      <w:rPr>
        <w:lang w:val="fr-FR"/>
      </w:rPr>
      <w:instrText xml:space="preserve">  \* MERGEFORMAT </w:instrText>
    </w:r>
    <w:r>
      <w:fldChar w:fldCharType="separate"/>
    </w:r>
    <w:r>
      <w:rPr>
        <w:lang w:val="fr-FR"/>
      </w:rPr>
      <w:t>DB 32/T XXXX—XXXX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3"/>
    </w:pPr>
    <w:r>
      <w:fldChar w:fldCharType="begin"/>
    </w:r>
    <w:r>
      <w:instrText xml:space="preserve"> STYLEREF  标准文件_文件编号  \* MERGEFORMAT </w:instrText>
    </w:r>
    <w:r>
      <w:fldChar w:fldCharType="separate"/>
    </w:r>
    <w:r>
      <w:t>DB 32/T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6"/>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1"/>
      <w:suff w:val="nothing"/>
      <w:lvlText w:val="%1%2.%3　"/>
      <w:lvlJc w:val="left"/>
      <w:pPr>
        <w:ind w:left="0" w:firstLine="0"/>
      </w:pPr>
    </w:lvl>
    <w:lvl w:ilvl="3" w:tentative="0">
      <w:start w:val="1"/>
      <w:numFmt w:val="decimal"/>
      <w:pStyle w:val="120"/>
      <w:suff w:val="nothing"/>
      <w:lvlText w:val="%1%2.%3.%4　"/>
      <w:lvlJc w:val="left"/>
      <w:pPr>
        <w:ind w:left="0" w:firstLine="0"/>
      </w:pPr>
    </w:lvl>
    <w:lvl w:ilvl="4" w:tentative="0">
      <w:start w:val="1"/>
      <w:numFmt w:val="decimal"/>
      <w:pStyle w:val="155"/>
      <w:suff w:val="nothing"/>
      <w:lvlText w:val="%1%2.%3.%4.%5　"/>
      <w:lvlJc w:val="left"/>
      <w:pPr>
        <w:ind w:left="0" w:firstLine="0"/>
      </w:pPr>
    </w:lvl>
    <w:lvl w:ilvl="5" w:tentative="0">
      <w:start w:val="1"/>
      <w:numFmt w:val="decimal"/>
      <w:pStyle w:val="157"/>
      <w:suff w:val="nothing"/>
      <w:lvlText w:val="%1%2.%3.%4.%5.%6　"/>
      <w:lvlJc w:val="left"/>
      <w:pPr>
        <w:ind w:left="0" w:firstLine="0"/>
      </w:pPr>
    </w:lvl>
    <w:lvl w:ilvl="6" w:tentative="0">
      <w:start w:val="1"/>
      <w:numFmt w:val="decimal"/>
      <w:pStyle w:val="160"/>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2"/>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91"/>
      <w:lvlText w:val="%1"/>
      <w:lvlJc w:val="left"/>
      <w:pPr>
        <w:ind w:left="425" w:hanging="425"/>
      </w:pPr>
      <w:rPr>
        <w:rFonts w:hint="eastAsia"/>
      </w:rPr>
    </w:lvl>
    <w:lvl w:ilvl="1" w:tentative="0">
      <w:start w:val="1"/>
      <w:numFmt w:val="decimal"/>
      <w:pStyle w:val="202"/>
      <w:suff w:val="nothing"/>
      <w:lvlText w:val="%10.%2 "/>
      <w:lvlJc w:val="left"/>
      <w:pPr>
        <w:ind w:left="0" w:firstLine="0"/>
      </w:pPr>
      <w:rPr>
        <w:rFonts w:hint="eastAsia" w:ascii="黑体" w:eastAsia="黑体" w:hAnsiTheme="minorHAnsi"/>
        <w:b w:val="0"/>
        <w:i w:val="0"/>
        <w:sz w:val="21"/>
      </w:rPr>
    </w:lvl>
    <w:lvl w:ilvl="2" w:tentative="0">
      <w:start w:val="1"/>
      <w:numFmt w:val="decimal"/>
      <w:pStyle w:val="203"/>
      <w:suff w:val="nothing"/>
      <w:lvlText w:val="%10.%2.%3 "/>
      <w:lvlJc w:val="left"/>
      <w:pPr>
        <w:ind w:left="0" w:firstLine="0"/>
      </w:pPr>
      <w:rPr>
        <w:rFonts w:hint="eastAsia" w:ascii="黑体" w:eastAsia="黑体" w:hAnsiTheme="minorHAnsi"/>
        <w:b w:val="0"/>
        <w:i w:val="0"/>
        <w:sz w:val="21"/>
      </w:rPr>
    </w:lvl>
    <w:lvl w:ilvl="3" w:tentative="0">
      <w:start w:val="1"/>
      <w:numFmt w:val="decimal"/>
      <w:pStyle w:val="204"/>
      <w:suff w:val="nothing"/>
      <w:lvlText w:val="%10.%2.%3.%4 "/>
      <w:lvlJc w:val="left"/>
      <w:pPr>
        <w:ind w:left="0" w:firstLine="0"/>
      </w:pPr>
      <w:rPr>
        <w:rFonts w:hint="eastAsia" w:ascii="黑体" w:eastAsia="黑体" w:hAnsiTheme="minorHAnsi"/>
        <w:b w:val="0"/>
        <w:i w:val="0"/>
        <w:sz w:val="21"/>
      </w:rPr>
    </w:lvl>
    <w:lvl w:ilvl="4" w:tentative="0">
      <w:start w:val="1"/>
      <w:numFmt w:val="decimal"/>
      <w:pStyle w:val="205"/>
      <w:suff w:val="nothing"/>
      <w:lvlText w:val="%10.%2.%3.%4.%5 "/>
      <w:lvlJc w:val="left"/>
      <w:pPr>
        <w:ind w:left="0" w:firstLine="0"/>
      </w:pPr>
      <w:rPr>
        <w:rFonts w:hint="eastAsia" w:ascii="黑体" w:eastAsia="黑体" w:hAnsiTheme="minorHAnsi"/>
        <w:b w:val="0"/>
        <w:i w:val="0"/>
        <w:sz w:val="21"/>
      </w:rPr>
    </w:lvl>
    <w:lvl w:ilvl="5" w:tentative="0">
      <w:start w:val="1"/>
      <w:numFmt w:val="decimal"/>
      <w:pStyle w:val="206"/>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3"/>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9"/>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71"/>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2"/>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7"/>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4"/>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4"/>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9"/>
      <w:lvlText w:val=""/>
      <w:lvlJc w:val="left"/>
      <w:pPr>
        <w:ind w:left="851" w:hanging="431"/>
      </w:pPr>
      <w:rPr>
        <w:rFonts w:hint="default" w:ascii="Symbol" w:hAnsi="Symbol"/>
        <w:sz w:val="21"/>
      </w:rPr>
    </w:lvl>
    <w:lvl w:ilvl="2" w:tentative="0">
      <w:start w:val="1"/>
      <w:numFmt w:val="bullet"/>
      <w:pStyle w:val="174"/>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3"/>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lvlText w:val="%1)"/>
      <w:lvlJc w:val="left"/>
      <w:pPr>
        <w:tabs>
          <w:tab w:val="left" w:pos="851"/>
        </w:tabs>
        <w:ind w:left="851" w:hanging="426"/>
      </w:pPr>
      <w:rPr>
        <w:rFonts w:hint="eastAsia" w:ascii="宋体" w:hAnsi="Times New Roman" w:eastAsia="宋体"/>
        <w:sz w:val="21"/>
      </w:rPr>
    </w:lvl>
    <w:lvl w:ilvl="1" w:tentative="0">
      <w:start w:val="1"/>
      <w:numFmt w:val="decimal"/>
      <w:pStyle w:val="111"/>
      <w:lvlText w:val="[%2]"/>
      <w:lvlJc w:val="left"/>
      <w:pPr>
        <w:tabs>
          <w:tab w:val="left" w:pos="1135"/>
        </w:tabs>
        <w:ind w:left="1135" w:hanging="425"/>
      </w:pPr>
      <w:rPr>
        <w:rFonts w:hint="eastAsia"/>
        <w:sz w:val="21"/>
      </w:rPr>
    </w:lvl>
    <w:lvl w:ilvl="2" w:tentative="0">
      <w:start w:val="1"/>
      <w:numFmt w:val="decimal"/>
      <w:pStyle w:val="119"/>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200"/>
      <w:lvlText w:val="%1"/>
      <w:lvlJc w:val="left"/>
      <w:pPr>
        <w:ind w:left="420" w:hanging="420"/>
      </w:pPr>
      <w:rPr>
        <w:rFonts w:hint="eastAsia"/>
      </w:rPr>
    </w:lvl>
    <w:lvl w:ilvl="1" w:tentative="0">
      <w:start w:val="1"/>
      <w:numFmt w:val="decimal"/>
      <w:pStyle w:val="85"/>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5"/>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8"/>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5"/>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6"/>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201"/>
      <w:suff w:val="space"/>
      <w:lvlText w:val="%1"/>
      <w:lvlJc w:val="left"/>
      <w:pPr>
        <w:ind w:left="425" w:hanging="425"/>
      </w:pPr>
      <w:rPr>
        <w:rFonts w:hint="eastAsia"/>
      </w:rPr>
    </w:lvl>
    <w:lvl w:ilvl="1" w:tentative="0">
      <w:start w:val="1"/>
      <w:numFmt w:val="decimal"/>
      <w:pStyle w:val="79"/>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3"/>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70"/>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4"/>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91"/>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8"/>
      <w:suff w:val="nothing"/>
      <w:lvlText w:val="附录%1"/>
      <w:lvlJc w:val="left"/>
      <w:pPr>
        <w:ind w:left="0" w:firstLine="0"/>
      </w:pPr>
      <w:rPr>
        <w:rFonts w:hint="eastAsia"/>
        <w:spacing w:val="100"/>
      </w:rPr>
    </w:lvl>
    <w:lvl w:ilvl="1" w:tentative="0">
      <w:start w:val="1"/>
      <w:numFmt w:val="decimal"/>
      <w:pStyle w:val="80"/>
      <w:suff w:val="nothing"/>
      <w:lvlText w:val="%1.%2　"/>
      <w:lvlJc w:val="left"/>
      <w:pPr>
        <w:ind w:left="0" w:firstLine="0"/>
      </w:pPr>
      <w:rPr>
        <w:rFonts w:hint="eastAsia" w:ascii="黑体" w:eastAsia="黑体"/>
        <w:b w:val="0"/>
        <w:i w:val="0"/>
        <w:sz w:val="21"/>
      </w:rPr>
    </w:lvl>
    <w:lvl w:ilvl="2" w:tentative="0">
      <w:start w:val="1"/>
      <w:numFmt w:val="decimal"/>
      <w:pStyle w:val="81"/>
      <w:suff w:val="nothing"/>
      <w:lvlText w:val="%1.%2.%3　"/>
      <w:lvlJc w:val="left"/>
      <w:pPr>
        <w:ind w:left="0" w:firstLine="0"/>
      </w:pPr>
      <w:rPr>
        <w:rFonts w:hint="eastAsia" w:ascii="黑体" w:eastAsia="黑体"/>
        <w:b w:val="0"/>
        <w:i w:val="0"/>
        <w:sz w:val="21"/>
      </w:rPr>
    </w:lvl>
    <w:lvl w:ilvl="3" w:tentative="0">
      <w:start w:val="1"/>
      <w:numFmt w:val="decimal"/>
      <w:pStyle w:val="83"/>
      <w:suff w:val="nothing"/>
      <w:lvlText w:val="%1.%2.%3.%4　"/>
      <w:lvlJc w:val="left"/>
      <w:pPr>
        <w:ind w:left="0" w:firstLine="0"/>
      </w:pPr>
      <w:rPr>
        <w:rFonts w:hint="eastAsia" w:ascii="黑体" w:eastAsia="黑体"/>
        <w:b w:val="0"/>
        <w:i w:val="0"/>
        <w:sz w:val="21"/>
      </w:rPr>
    </w:lvl>
    <w:lvl w:ilvl="4" w:tentative="0">
      <w:start w:val="1"/>
      <w:numFmt w:val="decimal"/>
      <w:pStyle w:val="84"/>
      <w:suff w:val="nothing"/>
      <w:lvlText w:val="%1.%2.%3.%4.%5　"/>
      <w:lvlJc w:val="left"/>
      <w:pPr>
        <w:ind w:left="0" w:firstLine="0"/>
      </w:pPr>
      <w:rPr>
        <w:rFonts w:hint="eastAsia" w:ascii="黑体" w:eastAsia="黑体"/>
        <w:b w:val="0"/>
        <w:i w:val="0"/>
        <w:sz w:val="21"/>
      </w:rPr>
    </w:lvl>
    <w:lvl w:ilvl="5" w:tentative="0">
      <w:start w:val="1"/>
      <w:numFmt w:val="decimal"/>
      <w:pStyle w:val="86"/>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90"/>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9"/>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5"/>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4"/>
      <w:suff w:val="nothing"/>
      <w:lvlText w:val="%1"/>
      <w:lvlJc w:val="left"/>
      <w:pPr>
        <w:ind w:left="0" w:firstLine="0"/>
      </w:pPr>
      <w:rPr>
        <w:rFonts w:hint="eastAsia"/>
      </w:rPr>
    </w:lvl>
    <w:lvl w:ilvl="1" w:tentative="0">
      <w:start w:val="1"/>
      <w:numFmt w:val="decimal"/>
      <w:pStyle w:val="106"/>
      <w:suff w:val="nothing"/>
      <w:lvlText w:val="%1%2　"/>
      <w:lvlJc w:val="left"/>
      <w:pPr>
        <w:ind w:left="0" w:firstLine="0"/>
      </w:pPr>
      <w:rPr>
        <w:rFonts w:hint="eastAsia" w:ascii="黑体" w:eastAsia="黑体"/>
        <w:b w:val="0"/>
        <w:i w:val="0"/>
        <w:sz w:val="21"/>
      </w:rPr>
    </w:lvl>
    <w:lvl w:ilvl="2" w:tentative="0">
      <w:start w:val="1"/>
      <w:numFmt w:val="decimal"/>
      <w:pStyle w:val="107"/>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67"/>
      <w:suff w:val="nothing"/>
      <w:lvlText w:val="%1%2.%3.%4　"/>
      <w:lvlJc w:val="left"/>
      <w:pPr>
        <w:ind w:left="1419" w:firstLine="0"/>
      </w:pPr>
      <w:rPr>
        <w:rFonts w:hint="eastAsia" w:ascii="黑体" w:eastAsia="黑体"/>
        <w:b w:val="0"/>
        <w:i w:val="0"/>
        <w:sz w:val="21"/>
      </w:rPr>
    </w:lvl>
    <w:lvl w:ilvl="4" w:tentative="0">
      <w:start w:val="1"/>
      <w:numFmt w:val="decimal"/>
      <w:pStyle w:val="96"/>
      <w:suff w:val="nothing"/>
      <w:lvlText w:val="%1%2.%3.%4.%5　"/>
      <w:lvlJc w:val="left"/>
      <w:pPr>
        <w:ind w:left="0" w:firstLine="0"/>
      </w:pPr>
      <w:rPr>
        <w:rFonts w:hint="eastAsia" w:ascii="黑体" w:eastAsia="黑体"/>
        <w:b w:val="0"/>
        <w:i w:val="0"/>
        <w:sz w:val="21"/>
      </w:rPr>
    </w:lvl>
    <w:lvl w:ilvl="5" w:tentative="0">
      <w:start w:val="1"/>
      <w:numFmt w:val="decimal"/>
      <w:pStyle w:val="100"/>
      <w:suff w:val="nothing"/>
      <w:lvlText w:val="%1%2.%3.%4.%5.%6　"/>
      <w:lvlJc w:val="left"/>
      <w:pPr>
        <w:ind w:left="0" w:firstLine="0"/>
      </w:pPr>
      <w:rPr>
        <w:rFonts w:hint="eastAsia" w:ascii="黑体" w:eastAsia="黑体"/>
        <w:b w:val="0"/>
        <w:i w:val="0"/>
        <w:sz w:val="21"/>
      </w:rPr>
    </w:lvl>
    <w:lvl w:ilvl="6" w:tentative="0">
      <w:start w:val="1"/>
      <w:numFmt w:val="decimal"/>
      <w:pStyle w:val="105"/>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81"/>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7"/>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41"/>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attachedTemplate r:id="rId1"/>
  <w:documentProtection w:edit="forms" w:enforcement="1" w:cryptProviderType="rsaAES" w:cryptAlgorithmClass="hash" w:cryptAlgorithmType="typeAny" w:cryptAlgorithmSid="14" w:cryptSpinCount="100000" w:hash="EDzxaeegYVRx2zCXU+dBUW++M2JdNx3xOg7qcyY+G44n6wThswZ3ekIMCeDmtnIasAvMiPwF+CAB779Sq4jnyg==" w:salt="+1bR5d8U21hrISoFJN+SWg=="/>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Q5OTNhMGQ3Y2RmYmU4YTZlZjdjZDVlZDI0NzI0NWIifQ=="/>
  </w:docVars>
  <w:rsids>
    <w:rsidRoot w:val="002440FE"/>
    <w:rsid w:val="0000040A"/>
    <w:rsid w:val="00000A94"/>
    <w:rsid w:val="00001972"/>
    <w:rsid w:val="00001D9A"/>
    <w:rsid w:val="00004A11"/>
    <w:rsid w:val="00007B3A"/>
    <w:rsid w:val="000107E0"/>
    <w:rsid w:val="0001136E"/>
    <w:rsid w:val="00011FDE"/>
    <w:rsid w:val="00012FFD"/>
    <w:rsid w:val="00014162"/>
    <w:rsid w:val="00014340"/>
    <w:rsid w:val="00014EE9"/>
    <w:rsid w:val="00015E13"/>
    <w:rsid w:val="00016A9C"/>
    <w:rsid w:val="00022184"/>
    <w:rsid w:val="00022762"/>
    <w:rsid w:val="000238E0"/>
    <w:rsid w:val="00024698"/>
    <w:rsid w:val="000249DB"/>
    <w:rsid w:val="0002595E"/>
    <w:rsid w:val="00026EB2"/>
    <w:rsid w:val="000303C3"/>
    <w:rsid w:val="0003184A"/>
    <w:rsid w:val="00031B5D"/>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0DA"/>
    <w:rsid w:val="000622D4"/>
    <w:rsid w:val="0006357D"/>
    <w:rsid w:val="00067F1E"/>
    <w:rsid w:val="00071C0B"/>
    <w:rsid w:val="00071CC0"/>
    <w:rsid w:val="00073C8C"/>
    <w:rsid w:val="00074468"/>
    <w:rsid w:val="0007783C"/>
    <w:rsid w:val="00077B64"/>
    <w:rsid w:val="00080A1C"/>
    <w:rsid w:val="00082317"/>
    <w:rsid w:val="00083D2C"/>
    <w:rsid w:val="0008486F"/>
    <w:rsid w:val="00086AA1"/>
    <w:rsid w:val="00087A77"/>
    <w:rsid w:val="00090CA6"/>
    <w:rsid w:val="00092B8A"/>
    <w:rsid w:val="00092FB0"/>
    <w:rsid w:val="000934C5"/>
    <w:rsid w:val="00093D25"/>
    <w:rsid w:val="00093DAB"/>
    <w:rsid w:val="00094D73"/>
    <w:rsid w:val="00096D63"/>
    <w:rsid w:val="000A0B60"/>
    <w:rsid w:val="000A0EB8"/>
    <w:rsid w:val="000A1205"/>
    <w:rsid w:val="000A12E1"/>
    <w:rsid w:val="000A13D0"/>
    <w:rsid w:val="000A19FC"/>
    <w:rsid w:val="000A296B"/>
    <w:rsid w:val="000A7311"/>
    <w:rsid w:val="000B060F"/>
    <w:rsid w:val="000B0C6B"/>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50DF"/>
    <w:rsid w:val="000D753B"/>
    <w:rsid w:val="000E4C9E"/>
    <w:rsid w:val="000E6FD7"/>
    <w:rsid w:val="000F06E1"/>
    <w:rsid w:val="000F0E3C"/>
    <w:rsid w:val="000F19D5"/>
    <w:rsid w:val="000F1DD1"/>
    <w:rsid w:val="000F3817"/>
    <w:rsid w:val="000F4AEA"/>
    <w:rsid w:val="000F633F"/>
    <w:rsid w:val="000F67E9"/>
    <w:rsid w:val="000F6EAD"/>
    <w:rsid w:val="00104926"/>
    <w:rsid w:val="00113B1E"/>
    <w:rsid w:val="0011711C"/>
    <w:rsid w:val="0012059C"/>
    <w:rsid w:val="0012472D"/>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4C4F"/>
    <w:rsid w:val="00156B25"/>
    <w:rsid w:val="00156E1A"/>
    <w:rsid w:val="00157894"/>
    <w:rsid w:val="00157B55"/>
    <w:rsid w:val="001629DC"/>
    <w:rsid w:val="001642FA"/>
    <w:rsid w:val="001649EB"/>
    <w:rsid w:val="00164BAF"/>
    <w:rsid w:val="00164FA8"/>
    <w:rsid w:val="00165065"/>
    <w:rsid w:val="00165434"/>
    <w:rsid w:val="0016580B"/>
    <w:rsid w:val="00165F49"/>
    <w:rsid w:val="00166B88"/>
    <w:rsid w:val="0016770A"/>
    <w:rsid w:val="00170804"/>
    <w:rsid w:val="001708E9"/>
    <w:rsid w:val="00170AF0"/>
    <w:rsid w:val="0017340B"/>
    <w:rsid w:val="00173FB1"/>
    <w:rsid w:val="00175121"/>
    <w:rsid w:val="00176DFD"/>
    <w:rsid w:val="001809F2"/>
    <w:rsid w:val="001852C9"/>
    <w:rsid w:val="00190087"/>
    <w:rsid w:val="001913C4"/>
    <w:rsid w:val="00192BF8"/>
    <w:rsid w:val="00192CDC"/>
    <w:rsid w:val="0019348F"/>
    <w:rsid w:val="00193A07"/>
    <w:rsid w:val="00194C95"/>
    <w:rsid w:val="00195C34"/>
    <w:rsid w:val="00196153"/>
    <w:rsid w:val="00196EF5"/>
    <w:rsid w:val="001974DF"/>
    <w:rsid w:val="001A0B58"/>
    <w:rsid w:val="001A1A53"/>
    <w:rsid w:val="001A234A"/>
    <w:rsid w:val="001A4CF3"/>
    <w:rsid w:val="001B043C"/>
    <w:rsid w:val="001B06E8"/>
    <w:rsid w:val="001B0CBC"/>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2A3"/>
    <w:rsid w:val="00200333"/>
    <w:rsid w:val="0020107D"/>
    <w:rsid w:val="00202AA4"/>
    <w:rsid w:val="002031F7"/>
    <w:rsid w:val="002040E6"/>
    <w:rsid w:val="0020527B"/>
    <w:rsid w:val="00205F2C"/>
    <w:rsid w:val="0020657D"/>
    <w:rsid w:val="002105E2"/>
    <w:rsid w:val="00210B15"/>
    <w:rsid w:val="002142EA"/>
    <w:rsid w:val="002204BB"/>
    <w:rsid w:val="00221B79"/>
    <w:rsid w:val="00221C6B"/>
    <w:rsid w:val="002253A1"/>
    <w:rsid w:val="00225CF8"/>
    <w:rsid w:val="0022794E"/>
    <w:rsid w:val="00233D64"/>
    <w:rsid w:val="0023482A"/>
    <w:rsid w:val="002359CB"/>
    <w:rsid w:val="00243540"/>
    <w:rsid w:val="002440FE"/>
    <w:rsid w:val="0024497B"/>
    <w:rsid w:val="0024515B"/>
    <w:rsid w:val="00246021"/>
    <w:rsid w:val="0024666E"/>
    <w:rsid w:val="00247F52"/>
    <w:rsid w:val="00250B25"/>
    <w:rsid w:val="00250BBE"/>
    <w:rsid w:val="002515C2"/>
    <w:rsid w:val="0025194F"/>
    <w:rsid w:val="0026148A"/>
    <w:rsid w:val="002619C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910"/>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76"/>
    <w:rsid w:val="002F30E0"/>
    <w:rsid w:val="002F35E4"/>
    <w:rsid w:val="002F3730"/>
    <w:rsid w:val="002F38E1"/>
    <w:rsid w:val="002F6BFC"/>
    <w:rsid w:val="002F7AF6"/>
    <w:rsid w:val="00300E63"/>
    <w:rsid w:val="00302F5F"/>
    <w:rsid w:val="0030441D"/>
    <w:rsid w:val="00305446"/>
    <w:rsid w:val="00306063"/>
    <w:rsid w:val="00313B85"/>
    <w:rsid w:val="00317988"/>
    <w:rsid w:val="003210D1"/>
    <w:rsid w:val="003221B4"/>
    <w:rsid w:val="0032258D"/>
    <w:rsid w:val="00322E62"/>
    <w:rsid w:val="00324D13"/>
    <w:rsid w:val="00324D2A"/>
    <w:rsid w:val="00324EDD"/>
    <w:rsid w:val="003331E4"/>
    <w:rsid w:val="00336C64"/>
    <w:rsid w:val="00337162"/>
    <w:rsid w:val="0034141A"/>
    <w:rsid w:val="0034194F"/>
    <w:rsid w:val="00343D6F"/>
    <w:rsid w:val="00344605"/>
    <w:rsid w:val="003474AA"/>
    <w:rsid w:val="00350D1D"/>
    <w:rsid w:val="00352C83"/>
    <w:rsid w:val="003579C5"/>
    <w:rsid w:val="003615D2"/>
    <w:rsid w:val="003626B0"/>
    <w:rsid w:val="0036429C"/>
    <w:rsid w:val="00364A53"/>
    <w:rsid w:val="003654CB"/>
    <w:rsid w:val="00365AA9"/>
    <w:rsid w:val="00365F86"/>
    <w:rsid w:val="00365F87"/>
    <w:rsid w:val="00366E89"/>
    <w:rsid w:val="003705F4"/>
    <w:rsid w:val="00370D58"/>
    <w:rsid w:val="00371316"/>
    <w:rsid w:val="00376713"/>
    <w:rsid w:val="00380C50"/>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57AA"/>
    <w:rsid w:val="003974EB"/>
    <w:rsid w:val="00397CC5"/>
    <w:rsid w:val="003A1582"/>
    <w:rsid w:val="003A4077"/>
    <w:rsid w:val="003B09AD"/>
    <w:rsid w:val="003B1536"/>
    <w:rsid w:val="003B1F18"/>
    <w:rsid w:val="003B5BF0"/>
    <w:rsid w:val="003B60BF"/>
    <w:rsid w:val="003B6BE3"/>
    <w:rsid w:val="003C010C"/>
    <w:rsid w:val="003C0A6C"/>
    <w:rsid w:val="003C14F8"/>
    <w:rsid w:val="003C5A43"/>
    <w:rsid w:val="003D0519"/>
    <w:rsid w:val="003D0FF6"/>
    <w:rsid w:val="003D262C"/>
    <w:rsid w:val="003D695E"/>
    <w:rsid w:val="003D6D61"/>
    <w:rsid w:val="003D79C6"/>
    <w:rsid w:val="003E091D"/>
    <w:rsid w:val="003E1C53"/>
    <w:rsid w:val="003E2A69"/>
    <w:rsid w:val="003E2D49"/>
    <w:rsid w:val="003E2FD4"/>
    <w:rsid w:val="003E31A4"/>
    <w:rsid w:val="003E49F6"/>
    <w:rsid w:val="003E5DBB"/>
    <w:rsid w:val="003E660F"/>
    <w:rsid w:val="003F0841"/>
    <w:rsid w:val="003F23D3"/>
    <w:rsid w:val="003F3F08"/>
    <w:rsid w:val="003F49F1"/>
    <w:rsid w:val="003F51BC"/>
    <w:rsid w:val="003F6272"/>
    <w:rsid w:val="003F7D8D"/>
    <w:rsid w:val="00400E72"/>
    <w:rsid w:val="00401400"/>
    <w:rsid w:val="004021B6"/>
    <w:rsid w:val="00404869"/>
    <w:rsid w:val="00405884"/>
    <w:rsid w:val="00405E31"/>
    <w:rsid w:val="00407D39"/>
    <w:rsid w:val="00410E7D"/>
    <w:rsid w:val="00411C1E"/>
    <w:rsid w:val="00413CAB"/>
    <w:rsid w:val="0041477A"/>
    <w:rsid w:val="004167A3"/>
    <w:rsid w:val="00416979"/>
    <w:rsid w:val="004276C1"/>
    <w:rsid w:val="00432DAA"/>
    <w:rsid w:val="00434305"/>
    <w:rsid w:val="00435DF7"/>
    <w:rsid w:val="0044083F"/>
    <w:rsid w:val="00441AE7"/>
    <w:rsid w:val="00445574"/>
    <w:rsid w:val="004467FB"/>
    <w:rsid w:val="00452D6B"/>
    <w:rsid w:val="00454484"/>
    <w:rsid w:val="0045517B"/>
    <w:rsid w:val="00463476"/>
    <w:rsid w:val="00463B77"/>
    <w:rsid w:val="00463C7B"/>
    <w:rsid w:val="004644A6"/>
    <w:rsid w:val="004659BD"/>
    <w:rsid w:val="00470775"/>
    <w:rsid w:val="004746B1"/>
    <w:rsid w:val="0047508A"/>
    <w:rsid w:val="0047583F"/>
    <w:rsid w:val="00475DE8"/>
    <w:rsid w:val="00481C44"/>
    <w:rsid w:val="00484936"/>
    <w:rsid w:val="00485C89"/>
    <w:rsid w:val="00486BE3"/>
    <w:rsid w:val="00487229"/>
    <w:rsid w:val="004905E4"/>
    <w:rsid w:val="00490A89"/>
    <w:rsid w:val="00490AB4"/>
    <w:rsid w:val="00492F02"/>
    <w:rsid w:val="004939AE"/>
    <w:rsid w:val="004A12DF"/>
    <w:rsid w:val="004A17E6"/>
    <w:rsid w:val="004A1BA8"/>
    <w:rsid w:val="004A4B57"/>
    <w:rsid w:val="004A63FA"/>
    <w:rsid w:val="004A71B3"/>
    <w:rsid w:val="004B0272"/>
    <w:rsid w:val="004B2701"/>
    <w:rsid w:val="004B2E1B"/>
    <w:rsid w:val="004B3A2F"/>
    <w:rsid w:val="004B3AA8"/>
    <w:rsid w:val="004B3E93"/>
    <w:rsid w:val="004B5244"/>
    <w:rsid w:val="004B78B6"/>
    <w:rsid w:val="004C1FBC"/>
    <w:rsid w:val="004C3F1D"/>
    <w:rsid w:val="004C458D"/>
    <w:rsid w:val="004C67B5"/>
    <w:rsid w:val="004C7556"/>
    <w:rsid w:val="004C7E8B"/>
    <w:rsid w:val="004C7E9D"/>
    <w:rsid w:val="004C7F67"/>
    <w:rsid w:val="004D076D"/>
    <w:rsid w:val="004D0EF1"/>
    <w:rsid w:val="004D2253"/>
    <w:rsid w:val="004D4406"/>
    <w:rsid w:val="004D6B9D"/>
    <w:rsid w:val="004D7C42"/>
    <w:rsid w:val="004E0465"/>
    <w:rsid w:val="004E127B"/>
    <w:rsid w:val="004E1C0A"/>
    <w:rsid w:val="004E2B06"/>
    <w:rsid w:val="004E30C5"/>
    <w:rsid w:val="004E4AA5"/>
    <w:rsid w:val="004E4AEE"/>
    <w:rsid w:val="004E527E"/>
    <w:rsid w:val="004E59E3"/>
    <w:rsid w:val="004E67C0"/>
    <w:rsid w:val="004F391A"/>
    <w:rsid w:val="004F3CFB"/>
    <w:rsid w:val="004F6456"/>
    <w:rsid w:val="004F696E"/>
    <w:rsid w:val="004F6C71"/>
    <w:rsid w:val="00501139"/>
    <w:rsid w:val="00501F9A"/>
    <w:rsid w:val="0050363E"/>
    <w:rsid w:val="005039BC"/>
    <w:rsid w:val="005043BB"/>
    <w:rsid w:val="00504A3D"/>
    <w:rsid w:val="00505767"/>
    <w:rsid w:val="005073F0"/>
    <w:rsid w:val="00510A7B"/>
    <w:rsid w:val="00512F6E"/>
    <w:rsid w:val="00513038"/>
    <w:rsid w:val="00514174"/>
    <w:rsid w:val="00516088"/>
    <w:rsid w:val="00516943"/>
    <w:rsid w:val="00516B0B"/>
    <w:rsid w:val="005220EC"/>
    <w:rsid w:val="00523F95"/>
    <w:rsid w:val="00524D65"/>
    <w:rsid w:val="00525B16"/>
    <w:rsid w:val="00530B48"/>
    <w:rsid w:val="00532EDE"/>
    <w:rsid w:val="00533D04"/>
    <w:rsid w:val="00534804"/>
    <w:rsid w:val="00534BDF"/>
    <w:rsid w:val="00534EB9"/>
    <w:rsid w:val="005354EA"/>
    <w:rsid w:val="0053585F"/>
    <w:rsid w:val="00535EC4"/>
    <w:rsid w:val="00535ED9"/>
    <w:rsid w:val="0053692B"/>
    <w:rsid w:val="00541853"/>
    <w:rsid w:val="00543BDA"/>
    <w:rsid w:val="005441CC"/>
    <w:rsid w:val="0054624D"/>
    <w:rsid w:val="00546281"/>
    <w:rsid w:val="005479DA"/>
    <w:rsid w:val="00547BCC"/>
    <w:rsid w:val="0055013B"/>
    <w:rsid w:val="00551F6F"/>
    <w:rsid w:val="00555044"/>
    <w:rsid w:val="00555103"/>
    <w:rsid w:val="00561475"/>
    <w:rsid w:val="00562557"/>
    <w:rsid w:val="0056487B"/>
    <w:rsid w:val="00564FB9"/>
    <w:rsid w:val="00571F04"/>
    <w:rsid w:val="00573D9E"/>
    <w:rsid w:val="005801E3"/>
    <w:rsid w:val="00581802"/>
    <w:rsid w:val="005836A8"/>
    <w:rsid w:val="0058409C"/>
    <w:rsid w:val="00584262"/>
    <w:rsid w:val="005854D7"/>
    <w:rsid w:val="00586630"/>
    <w:rsid w:val="00587ADD"/>
    <w:rsid w:val="00591E27"/>
    <w:rsid w:val="00596160"/>
    <w:rsid w:val="005966E2"/>
    <w:rsid w:val="00597007"/>
    <w:rsid w:val="005A0966"/>
    <w:rsid w:val="005A0A92"/>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105F"/>
    <w:rsid w:val="005D211B"/>
    <w:rsid w:val="005D4171"/>
    <w:rsid w:val="005D6A95"/>
    <w:rsid w:val="005D6B2C"/>
    <w:rsid w:val="005D6D9C"/>
    <w:rsid w:val="005D7C84"/>
    <w:rsid w:val="005E2335"/>
    <w:rsid w:val="005E34CA"/>
    <w:rsid w:val="005E3C18"/>
    <w:rsid w:val="005E4228"/>
    <w:rsid w:val="005E6812"/>
    <w:rsid w:val="005E7881"/>
    <w:rsid w:val="005E78E0"/>
    <w:rsid w:val="005F0D9C"/>
    <w:rsid w:val="005F284E"/>
    <w:rsid w:val="005F4712"/>
    <w:rsid w:val="006015CE"/>
    <w:rsid w:val="00604784"/>
    <w:rsid w:val="00606419"/>
    <w:rsid w:val="00607D29"/>
    <w:rsid w:val="00612952"/>
    <w:rsid w:val="00614CC1"/>
    <w:rsid w:val="00615A9D"/>
    <w:rsid w:val="00615F95"/>
    <w:rsid w:val="00617387"/>
    <w:rsid w:val="00620278"/>
    <w:rsid w:val="006205D6"/>
    <w:rsid w:val="00624634"/>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27D"/>
    <w:rsid w:val="00653FED"/>
    <w:rsid w:val="00654C7F"/>
    <w:rsid w:val="00654EC0"/>
    <w:rsid w:val="00655217"/>
    <w:rsid w:val="0065525B"/>
    <w:rsid w:val="00655D4F"/>
    <w:rsid w:val="00656D29"/>
    <w:rsid w:val="006640E5"/>
    <w:rsid w:val="006646F1"/>
    <w:rsid w:val="00664929"/>
    <w:rsid w:val="00664F62"/>
    <w:rsid w:val="006655E1"/>
    <w:rsid w:val="00672060"/>
    <w:rsid w:val="006726D6"/>
    <w:rsid w:val="00672BFD"/>
    <w:rsid w:val="006770F4"/>
    <w:rsid w:val="00677A84"/>
    <w:rsid w:val="0068026D"/>
    <w:rsid w:val="00680A27"/>
    <w:rsid w:val="006815BE"/>
    <w:rsid w:val="006816A4"/>
    <w:rsid w:val="006819B8"/>
    <w:rsid w:val="006840A6"/>
    <w:rsid w:val="006850CD"/>
    <w:rsid w:val="00685AAB"/>
    <w:rsid w:val="00693855"/>
    <w:rsid w:val="00693D2D"/>
    <w:rsid w:val="00695D22"/>
    <w:rsid w:val="006A07AA"/>
    <w:rsid w:val="006A25E5"/>
    <w:rsid w:val="006A2B46"/>
    <w:rsid w:val="006A336D"/>
    <w:rsid w:val="006A37B9"/>
    <w:rsid w:val="006B2672"/>
    <w:rsid w:val="006B54BF"/>
    <w:rsid w:val="006B5F44"/>
    <w:rsid w:val="006B5F90"/>
    <w:rsid w:val="006B62E4"/>
    <w:rsid w:val="006C1BBA"/>
    <w:rsid w:val="006C2079"/>
    <w:rsid w:val="006C385C"/>
    <w:rsid w:val="006C5A62"/>
    <w:rsid w:val="006C5D68"/>
    <w:rsid w:val="006C6976"/>
    <w:rsid w:val="006C6DD0"/>
    <w:rsid w:val="006D04EA"/>
    <w:rsid w:val="006D0AB7"/>
    <w:rsid w:val="006D16C4"/>
    <w:rsid w:val="006D3E96"/>
    <w:rsid w:val="006D4515"/>
    <w:rsid w:val="006D4BB1"/>
    <w:rsid w:val="006D4CAA"/>
    <w:rsid w:val="006D6593"/>
    <w:rsid w:val="006E23EA"/>
    <w:rsid w:val="006F03A8"/>
    <w:rsid w:val="006F2ACA"/>
    <w:rsid w:val="006F2ADC"/>
    <w:rsid w:val="006F2BFE"/>
    <w:rsid w:val="006F31E9"/>
    <w:rsid w:val="006F587E"/>
    <w:rsid w:val="006F6284"/>
    <w:rsid w:val="007002C5"/>
    <w:rsid w:val="00704387"/>
    <w:rsid w:val="007053C2"/>
    <w:rsid w:val="00707669"/>
    <w:rsid w:val="00711CBA"/>
    <w:rsid w:val="00711FB5"/>
    <w:rsid w:val="00712A01"/>
    <w:rsid w:val="00714F58"/>
    <w:rsid w:val="00721AE8"/>
    <w:rsid w:val="00722FBF"/>
    <w:rsid w:val="00722FC2"/>
    <w:rsid w:val="00724879"/>
    <w:rsid w:val="00724E1B"/>
    <w:rsid w:val="00725949"/>
    <w:rsid w:val="00727FA2"/>
    <w:rsid w:val="00731AC8"/>
    <w:rsid w:val="007322D9"/>
    <w:rsid w:val="00732BC0"/>
    <w:rsid w:val="00734756"/>
    <w:rsid w:val="0073720F"/>
    <w:rsid w:val="00737796"/>
    <w:rsid w:val="00740EF2"/>
    <w:rsid w:val="0074165C"/>
    <w:rsid w:val="00742C35"/>
    <w:rsid w:val="007432CA"/>
    <w:rsid w:val="007439EB"/>
    <w:rsid w:val="00743CB4"/>
    <w:rsid w:val="00743F0A"/>
    <w:rsid w:val="007444E8"/>
    <w:rsid w:val="0074548E"/>
    <w:rsid w:val="00745773"/>
    <w:rsid w:val="0074582F"/>
    <w:rsid w:val="00746800"/>
    <w:rsid w:val="007501A8"/>
    <w:rsid w:val="00750D61"/>
    <w:rsid w:val="00750EE1"/>
    <w:rsid w:val="00752B4D"/>
    <w:rsid w:val="00755375"/>
    <w:rsid w:val="00755402"/>
    <w:rsid w:val="00755BA7"/>
    <w:rsid w:val="00756B26"/>
    <w:rsid w:val="00756EDF"/>
    <w:rsid w:val="007600E3"/>
    <w:rsid w:val="00762BDE"/>
    <w:rsid w:val="00765C43"/>
    <w:rsid w:val="00765EFB"/>
    <w:rsid w:val="007671CA"/>
    <w:rsid w:val="00767C61"/>
    <w:rsid w:val="0077008A"/>
    <w:rsid w:val="00773C1F"/>
    <w:rsid w:val="00774DA4"/>
    <w:rsid w:val="00776599"/>
    <w:rsid w:val="0078114B"/>
    <w:rsid w:val="0078121B"/>
    <w:rsid w:val="00781DD2"/>
    <w:rsid w:val="00783ECF"/>
    <w:rsid w:val="0078413A"/>
    <w:rsid w:val="00790252"/>
    <w:rsid w:val="007941F1"/>
    <w:rsid w:val="007959E8"/>
    <w:rsid w:val="00795E9C"/>
    <w:rsid w:val="007A0521"/>
    <w:rsid w:val="007A2E12"/>
    <w:rsid w:val="007A3475"/>
    <w:rsid w:val="007A41C8"/>
    <w:rsid w:val="007A54CE"/>
    <w:rsid w:val="007A6FD9"/>
    <w:rsid w:val="007A7FFA"/>
    <w:rsid w:val="007B009E"/>
    <w:rsid w:val="007B04EB"/>
    <w:rsid w:val="007B0D4F"/>
    <w:rsid w:val="007B5A3D"/>
    <w:rsid w:val="007B5B95"/>
    <w:rsid w:val="007B68EA"/>
    <w:rsid w:val="007B7453"/>
    <w:rsid w:val="007C1E8B"/>
    <w:rsid w:val="007C2BAC"/>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07FEA"/>
    <w:rsid w:val="00810257"/>
    <w:rsid w:val="008104F5"/>
    <w:rsid w:val="00811072"/>
    <w:rsid w:val="00811369"/>
    <w:rsid w:val="008131A5"/>
    <w:rsid w:val="00815419"/>
    <w:rsid w:val="008163C8"/>
    <w:rsid w:val="008164A1"/>
    <w:rsid w:val="00817325"/>
    <w:rsid w:val="008209E6"/>
    <w:rsid w:val="00823303"/>
    <w:rsid w:val="008233B2"/>
    <w:rsid w:val="00823A9F"/>
    <w:rsid w:val="00823C85"/>
    <w:rsid w:val="00825138"/>
    <w:rsid w:val="008269DD"/>
    <w:rsid w:val="00830621"/>
    <w:rsid w:val="00830AC8"/>
    <w:rsid w:val="0083348C"/>
    <w:rsid w:val="008347BC"/>
    <w:rsid w:val="00835CDF"/>
    <w:rsid w:val="008373D3"/>
    <w:rsid w:val="00840617"/>
    <w:rsid w:val="00840F84"/>
    <w:rsid w:val="00842A47"/>
    <w:rsid w:val="00843C13"/>
    <w:rsid w:val="008454F8"/>
    <w:rsid w:val="0085173A"/>
    <w:rsid w:val="00856316"/>
    <w:rsid w:val="00857932"/>
    <w:rsid w:val="008603CE"/>
    <w:rsid w:val="008620FC"/>
    <w:rsid w:val="008627A5"/>
    <w:rsid w:val="00863E05"/>
    <w:rsid w:val="0086465B"/>
    <w:rsid w:val="00865ACA"/>
    <w:rsid w:val="00865D28"/>
    <w:rsid w:val="00865F85"/>
    <w:rsid w:val="00867188"/>
    <w:rsid w:val="00867C10"/>
    <w:rsid w:val="00870439"/>
    <w:rsid w:val="00870DA1"/>
    <w:rsid w:val="00877A8E"/>
    <w:rsid w:val="00881124"/>
    <w:rsid w:val="00881FE8"/>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08FB"/>
    <w:rsid w:val="008A1893"/>
    <w:rsid w:val="008A1915"/>
    <w:rsid w:val="008A3215"/>
    <w:rsid w:val="008A57E6"/>
    <w:rsid w:val="008A6F81"/>
    <w:rsid w:val="008A769A"/>
    <w:rsid w:val="008B0C9C"/>
    <w:rsid w:val="008B166D"/>
    <w:rsid w:val="008B17F4"/>
    <w:rsid w:val="008B3615"/>
    <w:rsid w:val="008B4AC4"/>
    <w:rsid w:val="008B50C8"/>
    <w:rsid w:val="008B5281"/>
    <w:rsid w:val="008B6FA9"/>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6DBC"/>
    <w:rsid w:val="008F70BD"/>
    <w:rsid w:val="008F788F"/>
    <w:rsid w:val="008F7EA2"/>
    <w:rsid w:val="00902722"/>
    <w:rsid w:val="009027BC"/>
    <w:rsid w:val="009062E6"/>
    <w:rsid w:val="00911BE5"/>
    <w:rsid w:val="00913CA9"/>
    <w:rsid w:val="009145AE"/>
    <w:rsid w:val="009146CE"/>
    <w:rsid w:val="00914CA7"/>
    <w:rsid w:val="00915C3E"/>
    <w:rsid w:val="009161A8"/>
    <w:rsid w:val="0091705A"/>
    <w:rsid w:val="009245F5"/>
    <w:rsid w:val="009249EC"/>
    <w:rsid w:val="009273B3"/>
    <w:rsid w:val="009305B5"/>
    <w:rsid w:val="00932B9C"/>
    <w:rsid w:val="009429D5"/>
    <w:rsid w:val="00942BF1"/>
    <w:rsid w:val="00945180"/>
    <w:rsid w:val="00945428"/>
    <w:rsid w:val="0094607B"/>
    <w:rsid w:val="00953604"/>
    <w:rsid w:val="0095496B"/>
    <w:rsid w:val="009610DC"/>
    <w:rsid w:val="00961490"/>
    <w:rsid w:val="0096381A"/>
    <w:rsid w:val="0096598B"/>
    <w:rsid w:val="00965E04"/>
    <w:rsid w:val="009674AD"/>
    <w:rsid w:val="00970CDC"/>
    <w:rsid w:val="00972AE6"/>
    <w:rsid w:val="009740D7"/>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1D"/>
    <w:rsid w:val="009D4C5B"/>
    <w:rsid w:val="009D50D2"/>
    <w:rsid w:val="009D6BCA"/>
    <w:rsid w:val="009E0F62"/>
    <w:rsid w:val="009E3614"/>
    <w:rsid w:val="009E3E8A"/>
    <w:rsid w:val="009E4A58"/>
    <w:rsid w:val="009E5A2D"/>
    <w:rsid w:val="009E5AB2"/>
    <w:rsid w:val="009E6219"/>
    <w:rsid w:val="009F03B3"/>
    <w:rsid w:val="009F4C1C"/>
    <w:rsid w:val="00A0096C"/>
    <w:rsid w:val="00A01757"/>
    <w:rsid w:val="00A026DB"/>
    <w:rsid w:val="00A028C0"/>
    <w:rsid w:val="00A02BAE"/>
    <w:rsid w:val="00A05A5E"/>
    <w:rsid w:val="00A06A6B"/>
    <w:rsid w:val="00A07E47"/>
    <w:rsid w:val="00A117AC"/>
    <w:rsid w:val="00A129D0"/>
    <w:rsid w:val="00A12C33"/>
    <w:rsid w:val="00A138BA"/>
    <w:rsid w:val="00A14C8E"/>
    <w:rsid w:val="00A153D9"/>
    <w:rsid w:val="00A15F09"/>
    <w:rsid w:val="00A169B6"/>
    <w:rsid w:val="00A2271D"/>
    <w:rsid w:val="00A237D5"/>
    <w:rsid w:val="00A27377"/>
    <w:rsid w:val="00A30EFC"/>
    <w:rsid w:val="00A31984"/>
    <w:rsid w:val="00A32D73"/>
    <w:rsid w:val="00A3367B"/>
    <w:rsid w:val="00A3597D"/>
    <w:rsid w:val="00A36DD1"/>
    <w:rsid w:val="00A4006C"/>
    <w:rsid w:val="00A40091"/>
    <w:rsid w:val="00A4030F"/>
    <w:rsid w:val="00A41C79"/>
    <w:rsid w:val="00A41CB5"/>
    <w:rsid w:val="00A42CDF"/>
    <w:rsid w:val="00A4452E"/>
    <w:rsid w:val="00A445DE"/>
    <w:rsid w:val="00A4472C"/>
    <w:rsid w:val="00A44E69"/>
    <w:rsid w:val="00A4661E"/>
    <w:rsid w:val="00A559AD"/>
    <w:rsid w:val="00A55BD6"/>
    <w:rsid w:val="00A55D50"/>
    <w:rsid w:val="00A57142"/>
    <w:rsid w:val="00A648CD"/>
    <w:rsid w:val="00A6537A"/>
    <w:rsid w:val="00A67866"/>
    <w:rsid w:val="00A70B07"/>
    <w:rsid w:val="00A723F8"/>
    <w:rsid w:val="00A77CCB"/>
    <w:rsid w:val="00A83D8D"/>
    <w:rsid w:val="00A8446B"/>
    <w:rsid w:val="00A8473F"/>
    <w:rsid w:val="00A84B25"/>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5BF"/>
    <w:rsid w:val="00AC3A5A"/>
    <w:rsid w:val="00AC47A4"/>
    <w:rsid w:val="00AC4D95"/>
    <w:rsid w:val="00AC5DF4"/>
    <w:rsid w:val="00AD0AEF"/>
    <w:rsid w:val="00AD10FB"/>
    <w:rsid w:val="00AD11B7"/>
    <w:rsid w:val="00AD1A94"/>
    <w:rsid w:val="00AD1C05"/>
    <w:rsid w:val="00AD4126"/>
    <w:rsid w:val="00AD421C"/>
    <w:rsid w:val="00AD44FA"/>
    <w:rsid w:val="00AE070A"/>
    <w:rsid w:val="00AE101C"/>
    <w:rsid w:val="00AE37E5"/>
    <w:rsid w:val="00AE5EB4"/>
    <w:rsid w:val="00AF0C18"/>
    <w:rsid w:val="00AF47C5"/>
    <w:rsid w:val="00AF4BB3"/>
    <w:rsid w:val="00AF5398"/>
    <w:rsid w:val="00AF6FE0"/>
    <w:rsid w:val="00B01AAE"/>
    <w:rsid w:val="00B049AF"/>
    <w:rsid w:val="00B0571A"/>
    <w:rsid w:val="00B07242"/>
    <w:rsid w:val="00B10534"/>
    <w:rsid w:val="00B113DB"/>
    <w:rsid w:val="00B11D8A"/>
    <w:rsid w:val="00B12981"/>
    <w:rsid w:val="00B147DD"/>
    <w:rsid w:val="00B156FD"/>
    <w:rsid w:val="00B16F5A"/>
    <w:rsid w:val="00B21F61"/>
    <w:rsid w:val="00B261F1"/>
    <w:rsid w:val="00B265BC"/>
    <w:rsid w:val="00B31FB1"/>
    <w:rsid w:val="00B33952"/>
    <w:rsid w:val="00B33C5E"/>
    <w:rsid w:val="00B342F4"/>
    <w:rsid w:val="00B34369"/>
    <w:rsid w:val="00B34DC2"/>
    <w:rsid w:val="00B378E5"/>
    <w:rsid w:val="00B42DA8"/>
    <w:rsid w:val="00B4346D"/>
    <w:rsid w:val="00B440F4"/>
    <w:rsid w:val="00B447A5"/>
    <w:rsid w:val="00B4654C"/>
    <w:rsid w:val="00B46AF0"/>
    <w:rsid w:val="00B47293"/>
    <w:rsid w:val="00B50E50"/>
    <w:rsid w:val="00B52120"/>
    <w:rsid w:val="00B54ABC"/>
    <w:rsid w:val="00B54DDE"/>
    <w:rsid w:val="00B56FBE"/>
    <w:rsid w:val="00B60ACF"/>
    <w:rsid w:val="00B62B58"/>
    <w:rsid w:val="00B646B5"/>
    <w:rsid w:val="00B65149"/>
    <w:rsid w:val="00B66567"/>
    <w:rsid w:val="00B66F52"/>
    <w:rsid w:val="00B66FE5"/>
    <w:rsid w:val="00B72880"/>
    <w:rsid w:val="00B758BF"/>
    <w:rsid w:val="00B77EC8"/>
    <w:rsid w:val="00B827A6"/>
    <w:rsid w:val="00B831CE"/>
    <w:rsid w:val="00B86677"/>
    <w:rsid w:val="00B87131"/>
    <w:rsid w:val="00B87B63"/>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3856"/>
    <w:rsid w:val="00BE5B52"/>
    <w:rsid w:val="00BE7B8D"/>
    <w:rsid w:val="00BF0993"/>
    <w:rsid w:val="00BF10A9"/>
    <w:rsid w:val="00BF1703"/>
    <w:rsid w:val="00BF231C"/>
    <w:rsid w:val="00BF51E5"/>
    <w:rsid w:val="00BF5B2E"/>
    <w:rsid w:val="00BF74A6"/>
    <w:rsid w:val="00C013AD"/>
    <w:rsid w:val="00C01A9F"/>
    <w:rsid w:val="00C04904"/>
    <w:rsid w:val="00C056B3"/>
    <w:rsid w:val="00C103E5"/>
    <w:rsid w:val="00C11F0C"/>
    <w:rsid w:val="00C13319"/>
    <w:rsid w:val="00C13EE9"/>
    <w:rsid w:val="00C21540"/>
    <w:rsid w:val="00C21906"/>
    <w:rsid w:val="00C21BFA"/>
    <w:rsid w:val="00C22148"/>
    <w:rsid w:val="00C2252A"/>
    <w:rsid w:val="00C24C8D"/>
    <w:rsid w:val="00C25FE2"/>
    <w:rsid w:val="00C26B53"/>
    <w:rsid w:val="00C279B2"/>
    <w:rsid w:val="00C33E50"/>
    <w:rsid w:val="00C34C20"/>
    <w:rsid w:val="00C35A3E"/>
    <w:rsid w:val="00C42130"/>
    <w:rsid w:val="00C423A4"/>
    <w:rsid w:val="00C44BF5"/>
    <w:rsid w:val="00C461A1"/>
    <w:rsid w:val="00C51D67"/>
    <w:rsid w:val="00C521D6"/>
    <w:rsid w:val="00C55232"/>
    <w:rsid w:val="00C553A4"/>
    <w:rsid w:val="00C55A06"/>
    <w:rsid w:val="00C55D03"/>
    <w:rsid w:val="00C601BC"/>
    <w:rsid w:val="00C6329F"/>
    <w:rsid w:val="00C63340"/>
    <w:rsid w:val="00C641D5"/>
    <w:rsid w:val="00C643F9"/>
    <w:rsid w:val="00C64E95"/>
    <w:rsid w:val="00C673BD"/>
    <w:rsid w:val="00C71372"/>
    <w:rsid w:val="00C72410"/>
    <w:rsid w:val="00C7287F"/>
    <w:rsid w:val="00C80982"/>
    <w:rsid w:val="00C80CB8"/>
    <w:rsid w:val="00C819F8"/>
    <w:rsid w:val="00C8248C"/>
    <w:rsid w:val="00C84E33"/>
    <w:rsid w:val="00C86D6F"/>
    <w:rsid w:val="00C905FC"/>
    <w:rsid w:val="00C92D03"/>
    <w:rsid w:val="00C9319C"/>
    <w:rsid w:val="00C9435D"/>
    <w:rsid w:val="00C94DF2"/>
    <w:rsid w:val="00C96741"/>
    <w:rsid w:val="00C968A1"/>
    <w:rsid w:val="00C97DAA"/>
    <w:rsid w:val="00CA2D1B"/>
    <w:rsid w:val="00CA375D"/>
    <w:rsid w:val="00CA662A"/>
    <w:rsid w:val="00CA7AFD"/>
    <w:rsid w:val="00CA7C3C"/>
    <w:rsid w:val="00CB0189"/>
    <w:rsid w:val="00CB0BA2"/>
    <w:rsid w:val="00CB1A42"/>
    <w:rsid w:val="00CB1B0C"/>
    <w:rsid w:val="00CB2C0B"/>
    <w:rsid w:val="00CB4267"/>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D568E"/>
    <w:rsid w:val="00CD5B8B"/>
    <w:rsid w:val="00CE0C4F"/>
    <w:rsid w:val="00CE30EA"/>
    <w:rsid w:val="00CF048A"/>
    <w:rsid w:val="00CF11F7"/>
    <w:rsid w:val="00CF155A"/>
    <w:rsid w:val="00CF2947"/>
    <w:rsid w:val="00CF686F"/>
    <w:rsid w:val="00CF6E60"/>
    <w:rsid w:val="00CF7BCA"/>
    <w:rsid w:val="00D008FD"/>
    <w:rsid w:val="00D02847"/>
    <w:rsid w:val="00D0321C"/>
    <w:rsid w:val="00D035EC"/>
    <w:rsid w:val="00D06AB1"/>
    <w:rsid w:val="00D072ED"/>
    <w:rsid w:val="00D0799E"/>
    <w:rsid w:val="00D07A16"/>
    <w:rsid w:val="00D1067E"/>
    <w:rsid w:val="00D10F50"/>
    <w:rsid w:val="00D11272"/>
    <w:rsid w:val="00D126F5"/>
    <w:rsid w:val="00D1489E"/>
    <w:rsid w:val="00D164AC"/>
    <w:rsid w:val="00D20737"/>
    <w:rsid w:val="00D21E81"/>
    <w:rsid w:val="00D223DE"/>
    <w:rsid w:val="00D25E37"/>
    <w:rsid w:val="00D2661A"/>
    <w:rsid w:val="00D27582"/>
    <w:rsid w:val="00D27EC4"/>
    <w:rsid w:val="00D32719"/>
    <w:rsid w:val="00D33333"/>
    <w:rsid w:val="00D33457"/>
    <w:rsid w:val="00D34160"/>
    <w:rsid w:val="00D352A2"/>
    <w:rsid w:val="00D3660F"/>
    <w:rsid w:val="00D4162B"/>
    <w:rsid w:val="00D4514F"/>
    <w:rsid w:val="00D451E2"/>
    <w:rsid w:val="00D45E89"/>
    <w:rsid w:val="00D45E8D"/>
    <w:rsid w:val="00D466AE"/>
    <w:rsid w:val="00D4734F"/>
    <w:rsid w:val="00D51BF3"/>
    <w:rsid w:val="00D57A04"/>
    <w:rsid w:val="00D66846"/>
    <w:rsid w:val="00D675FB"/>
    <w:rsid w:val="00D71F25"/>
    <w:rsid w:val="00D72A9C"/>
    <w:rsid w:val="00D77031"/>
    <w:rsid w:val="00D81105"/>
    <w:rsid w:val="00D84941"/>
    <w:rsid w:val="00D84FA1"/>
    <w:rsid w:val="00D851F0"/>
    <w:rsid w:val="00D86DB7"/>
    <w:rsid w:val="00D926D0"/>
    <w:rsid w:val="00D93030"/>
    <w:rsid w:val="00D93DF3"/>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1A46"/>
    <w:rsid w:val="00DC3067"/>
    <w:rsid w:val="00DC370B"/>
    <w:rsid w:val="00DC5B90"/>
    <w:rsid w:val="00DC7AC3"/>
    <w:rsid w:val="00DD00FF"/>
    <w:rsid w:val="00DD0619"/>
    <w:rsid w:val="00DD07FB"/>
    <w:rsid w:val="00DD25C6"/>
    <w:rsid w:val="00DD4FE5"/>
    <w:rsid w:val="00DD54B0"/>
    <w:rsid w:val="00DD57EE"/>
    <w:rsid w:val="00DD61D9"/>
    <w:rsid w:val="00DD6BCC"/>
    <w:rsid w:val="00DE0A4B"/>
    <w:rsid w:val="00DE2410"/>
    <w:rsid w:val="00DE2939"/>
    <w:rsid w:val="00DE6E81"/>
    <w:rsid w:val="00DE703F"/>
    <w:rsid w:val="00DE7595"/>
    <w:rsid w:val="00DF1943"/>
    <w:rsid w:val="00DF1961"/>
    <w:rsid w:val="00DF44DE"/>
    <w:rsid w:val="00DF5F11"/>
    <w:rsid w:val="00E01138"/>
    <w:rsid w:val="00E02CC4"/>
    <w:rsid w:val="00E02DFB"/>
    <w:rsid w:val="00E030F9"/>
    <w:rsid w:val="00E0311A"/>
    <w:rsid w:val="00E03138"/>
    <w:rsid w:val="00E06404"/>
    <w:rsid w:val="00E065D2"/>
    <w:rsid w:val="00E11A85"/>
    <w:rsid w:val="00E12495"/>
    <w:rsid w:val="00E13B7D"/>
    <w:rsid w:val="00E15CCD"/>
    <w:rsid w:val="00E202EF"/>
    <w:rsid w:val="00E210B5"/>
    <w:rsid w:val="00E21FD5"/>
    <w:rsid w:val="00E23D99"/>
    <w:rsid w:val="00E2552F"/>
    <w:rsid w:val="00E3137A"/>
    <w:rsid w:val="00E32484"/>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BEF"/>
    <w:rsid w:val="00E62FF9"/>
    <w:rsid w:val="00E635D6"/>
    <w:rsid w:val="00E639BC"/>
    <w:rsid w:val="00E664CC"/>
    <w:rsid w:val="00E676BF"/>
    <w:rsid w:val="00E70388"/>
    <w:rsid w:val="00E70F92"/>
    <w:rsid w:val="00E7467F"/>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401"/>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0FBC"/>
    <w:rsid w:val="00ED2B50"/>
    <w:rsid w:val="00ED5473"/>
    <w:rsid w:val="00EE0350"/>
    <w:rsid w:val="00EE0719"/>
    <w:rsid w:val="00EE0E80"/>
    <w:rsid w:val="00EE54A6"/>
    <w:rsid w:val="00EE613F"/>
    <w:rsid w:val="00EE7128"/>
    <w:rsid w:val="00EE7295"/>
    <w:rsid w:val="00EE7869"/>
    <w:rsid w:val="00EF054A"/>
    <w:rsid w:val="00EF3235"/>
    <w:rsid w:val="00EF4C26"/>
    <w:rsid w:val="00EF7E72"/>
    <w:rsid w:val="00F01B2C"/>
    <w:rsid w:val="00F06D37"/>
    <w:rsid w:val="00F07B9D"/>
    <w:rsid w:val="00F11586"/>
    <w:rsid w:val="00F1183B"/>
    <w:rsid w:val="00F11C9F"/>
    <w:rsid w:val="00F12263"/>
    <w:rsid w:val="00F1409D"/>
    <w:rsid w:val="00F14214"/>
    <w:rsid w:val="00F157A9"/>
    <w:rsid w:val="00F25BB6"/>
    <w:rsid w:val="00F26B7E"/>
    <w:rsid w:val="00F27A3B"/>
    <w:rsid w:val="00F33817"/>
    <w:rsid w:val="00F34629"/>
    <w:rsid w:val="00F420D5"/>
    <w:rsid w:val="00F451EA"/>
    <w:rsid w:val="00F45447"/>
    <w:rsid w:val="00F456C6"/>
    <w:rsid w:val="00F4577B"/>
    <w:rsid w:val="00F46496"/>
    <w:rsid w:val="00F474D0"/>
    <w:rsid w:val="00F50179"/>
    <w:rsid w:val="00F515EE"/>
    <w:rsid w:val="00F55A31"/>
    <w:rsid w:val="00F56511"/>
    <w:rsid w:val="00F6194E"/>
    <w:rsid w:val="00F623AC"/>
    <w:rsid w:val="00F6412A"/>
    <w:rsid w:val="00F65893"/>
    <w:rsid w:val="00F66A4A"/>
    <w:rsid w:val="00F71E22"/>
    <w:rsid w:val="00F72142"/>
    <w:rsid w:val="00F72AE7"/>
    <w:rsid w:val="00F736A6"/>
    <w:rsid w:val="00F81141"/>
    <w:rsid w:val="00F81C3A"/>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1FA3"/>
    <w:rsid w:val="00FB231D"/>
    <w:rsid w:val="00FB45F1"/>
    <w:rsid w:val="00FB4A72"/>
    <w:rsid w:val="00FB54E8"/>
    <w:rsid w:val="00FB6F96"/>
    <w:rsid w:val="00FB7054"/>
    <w:rsid w:val="00FC042D"/>
    <w:rsid w:val="00FC17B7"/>
    <w:rsid w:val="00FC2CB7"/>
    <w:rsid w:val="00FC4090"/>
    <w:rsid w:val="00FC55B4"/>
    <w:rsid w:val="00FD00E6"/>
    <w:rsid w:val="00FD09A1"/>
    <w:rsid w:val="00FD2A7C"/>
    <w:rsid w:val="00FD59EB"/>
    <w:rsid w:val="00FD7299"/>
    <w:rsid w:val="00FD7742"/>
    <w:rsid w:val="00FE02AB"/>
    <w:rsid w:val="00FE1FBE"/>
    <w:rsid w:val="00FE3901"/>
    <w:rsid w:val="00FE39D3"/>
    <w:rsid w:val="00FE4BCE"/>
    <w:rsid w:val="00FE54AE"/>
    <w:rsid w:val="00FE576A"/>
    <w:rsid w:val="00FE5FC2"/>
    <w:rsid w:val="00FE7E79"/>
    <w:rsid w:val="00FF19B7"/>
    <w:rsid w:val="00FF3E7D"/>
    <w:rsid w:val="00FF5B99"/>
    <w:rsid w:val="00FF730C"/>
    <w:rsid w:val="00FF73F4"/>
    <w:rsid w:val="00FF7CE4"/>
    <w:rsid w:val="00FF7E39"/>
    <w:rsid w:val="09685DFB"/>
    <w:rsid w:val="09AD4668"/>
    <w:rsid w:val="15B14922"/>
    <w:rsid w:val="165607EF"/>
    <w:rsid w:val="26FB63D6"/>
    <w:rsid w:val="2AB5595E"/>
    <w:rsid w:val="5A3966BC"/>
    <w:rsid w:val="64D535D9"/>
    <w:rsid w:val="66C75E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6"/>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7"/>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8"/>
    <w:qFormat/>
    <w:uiPriority w:val="0"/>
    <w:pPr>
      <w:keepNext/>
      <w:keepLines/>
      <w:spacing w:before="260" w:after="260" w:line="416" w:lineRule="auto"/>
      <w:outlineLvl w:val="2"/>
    </w:pPr>
    <w:rPr>
      <w:b/>
      <w:bCs/>
      <w:sz w:val="32"/>
      <w:szCs w:val="32"/>
    </w:rPr>
  </w:style>
  <w:style w:type="paragraph" w:styleId="5">
    <w:name w:val="heading 4"/>
    <w:basedOn w:val="1"/>
    <w:next w:val="1"/>
    <w:link w:val="39"/>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40"/>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1"/>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2"/>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3"/>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4"/>
    <w:qFormat/>
    <w:uiPriority w:val="0"/>
    <w:pPr>
      <w:keepNext/>
      <w:keepLines/>
      <w:adjustRightInd/>
      <w:spacing w:before="240" w:after="64" w:line="320" w:lineRule="auto"/>
      <w:outlineLvl w:val="8"/>
    </w:pPr>
    <w:rPr>
      <w:rFonts w:ascii="Arial" w:hAnsi="Arial" w:eastAsia="黑体"/>
    </w:rPr>
  </w:style>
  <w:style w:type="character" w:default="1" w:styleId="30">
    <w:name w:val="Default Paragraph Font"/>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8"/>
    <w:qFormat/>
    <w:uiPriority w:val="0"/>
    <w:pPr>
      <w:spacing w:after="120"/>
    </w:pPr>
  </w:style>
  <w:style w:type="paragraph" w:styleId="14">
    <w:name w:val="Body Text Indent"/>
    <w:basedOn w:val="1"/>
    <w:semiHidden/>
    <w:unhideWhenUsed/>
    <w:qFormat/>
    <w:uiPriority w:val="99"/>
    <w:pPr>
      <w:spacing w:after="120"/>
      <w:ind w:left="420" w:leftChars="200"/>
    </w:pPr>
  </w:style>
  <w:style w:type="paragraph" w:styleId="15">
    <w:name w:val="toc 5"/>
    <w:basedOn w:val="1"/>
    <w:next w:val="1"/>
    <w:unhideWhenUsed/>
    <w:qFormat/>
    <w:uiPriority w:val="39"/>
    <w:pPr>
      <w:ind w:left="839"/>
    </w:pPr>
    <w:rPr>
      <w:rFonts w:ascii="宋体"/>
    </w:rPr>
  </w:style>
  <w:style w:type="paragraph" w:styleId="16">
    <w:name w:val="toc 3"/>
    <w:basedOn w:val="1"/>
    <w:next w:val="1"/>
    <w:unhideWhenUsed/>
    <w:qFormat/>
    <w:uiPriority w:val="39"/>
    <w:pPr>
      <w:spacing w:line="300" w:lineRule="exact"/>
      <w:ind w:left="420"/>
    </w:pPr>
    <w:rPr>
      <w:rFonts w:ascii="宋体"/>
    </w:rPr>
  </w:style>
  <w:style w:type="paragraph" w:styleId="17">
    <w:name w:val="Balloon Text"/>
    <w:basedOn w:val="1"/>
    <w:link w:val="47"/>
    <w:semiHidden/>
    <w:unhideWhenUsed/>
    <w:qFormat/>
    <w:uiPriority w:val="99"/>
    <w:rPr>
      <w:sz w:val="18"/>
      <w:szCs w:val="18"/>
    </w:rPr>
  </w:style>
  <w:style w:type="paragraph" w:styleId="18">
    <w:name w:val="footer"/>
    <w:basedOn w:val="1"/>
    <w:link w:val="46"/>
    <w:qFormat/>
    <w:uiPriority w:val="99"/>
    <w:pPr>
      <w:tabs>
        <w:tab w:val="center" w:pos="4153"/>
        <w:tab w:val="right" w:pos="8306"/>
      </w:tabs>
      <w:adjustRightInd/>
      <w:snapToGrid w:val="0"/>
      <w:spacing w:line="240" w:lineRule="auto"/>
      <w:jc w:val="right"/>
    </w:pPr>
    <w:rPr>
      <w:rFonts w:ascii="宋体"/>
      <w:sz w:val="18"/>
      <w:szCs w:val="18"/>
    </w:rPr>
  </w:style>
  <w:style w:type="paragraph" w:styleId="19">
    <w:name w:val="header"/>
    <w:basedOn w:val="1"/>
    <w:link w:val="45"/>
    <w:qFormat/>
    <w:uiPriority w:val="99"/>
    <w:pPr>
      <w:tabs>
        <w:tab w:val="center" w:pos="4153"/>
        <w:tab w:val="right" w:pos="8306"/>
      </w:tabs>
      <w:adjustRightInd/>
      <w:snapToGrid w:val="0"/>
      <w:jc w:val="center"/>
    </w:pPr>
    <w:rPr>
      <w:sz w:val="18"/>
      <w:szCs w:val="18"/>
    </w:rPr>
  </w:style>
  <w:style w:type="paragraph" w:styleId="20">
    <w:name w:val="toc 1"/>
    <w:basedOn w:val="1"/>
    <w:next w:val="1"/>
    <w:unhideWhenUsed/>
    <w:qFormat/>
    <w:uiPriority w:val="39"/>
    <w:rPr>
      <w:rFonts w:ascii="宋体"/>
    </w:rPr>
  </w:style>
  <w:style w:type="paragraph" w:styleId="21">
    <w:name w:val="toc 4"/>
    <w:basedOn w:val="1"/>
    <w:next w:val="1"/>
    <w:unhideWhenUsed/>
    <w:qFormat/>
    <w:uiPriority w:val="39"/>
    <w:pPr>
      <w:tabs>
        <w:tab w:val="right" w:leader="dot" w:pos="9344"/>
      </w:tabs>
      <w:spacing w:line="300" w:lineRule="exact"/>
      <w:ind w:left="629"/>
    </w:pPr>
    <w:rPr>
      <w:rFonts w:ascii="宋体"/>
    </w:rPr>
  </w:style>
  <w:style w:type="paragraph" w:styleId="22">
    <w:name w:val="footnote text"/>
    <w:basedOn w:val="1"/>
    <w:next w:val="1"/>
    <w:link w:val="101"/>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3">
    <w:name w:val="toc 6"/>
    <w:basedOn w:val="1"/>
    <w:next w:val="1"/>
    <w:unhideWhenUsed/>
    <w:qFormat/>
    <w:uiPriority w:val="39"/>
    <w:pPr>
      <w:spacing w:line="300" w:lineRule="exact"/>
      <w:ind w:left="1049"/>
    </w:pPr>
    <w:rPr>
      <w:rFonts w:ascii="宋体"/>
    </w:rPr>
  </w:style>
  <w:style w:type="paragraph" w:styleId="24">
    <w:name w:val="table of figures"/>
    <w:basedOn w:val="1"/>
    <w:next w:val="1"/>
    <w:semiHidden/>
    <w:qFormat/>
    <w:uiPriority w:val="0"/>
    <w:pPr>
      <w:adjustRightInd/>
      <w:spacing w:line="240" w:lineRule="auto"/>
      <w:jc w:val="left"/>
    </w:pPr>
    <w:rPr>
      <w:szCs w:val="24"/>
    </w:rPr>
  </w:style>
  <w:style w:type="paragraph" w:styleId="25">
    <w:name w:val="toc 2"/>
    <w:basedOn w:val="1"/>
    <w:next w:val="1"/>
    <w:unhideWhenUsed/>
    <w:qFormat/>
    <w:uiPriority w:val="39"/>
    <w:pPr>
      <w:tabs>
        <w:tab w:val="right" w:leader="dot" w:pos="9344"/>
      </w:tabs>
      <w:spacing w:line="300" w:lineRule="exact"/>
      <w:ind w:left="210"/>
    </w:pPr>
    <w:rPr>
      <w:rFonts w:ascii="宋体"/>
    </w:rPr>
  </w:style>
  <w:style w:type="paragraph" w:styleId="26">
    <w:name w:val="Title"/>
    <w:basedOn w:val="1"/>
    <w:link w:val="50"/>
    <w:qFormat/>
    <w:uiPriority w:val="0"/>
    <w:pPr>
      <w:spacing w:before="240" w:after="60"/>
      <w:jc w:val="center"/>
      <w:outlineLvl w:val="0"/>
    </w:pPr>
    <w:rPr>
      <w:rFonts w:ascii="Arial" w:hAnsi="Arial" w:cs="Arial"/>
      <w:b/>
      <w:bCs/>
      <w:sz w:val="32"/>
      <w:szCs w:val="32"/>
    </w:rPr>
  </w:style>
  <w:style w:type="paragraph" w:styleId="27">
    <w:name w:val="Body Text First Indent 2"/>
    <w:basedOn w:val="14"/>
    <w:next w:val="1"/>
    <w:qFormat/>
    <w:uiPriority w:val="0"/>
    <w:pPr>
      <w:spacing w:after="0" w:line="360" w:lineRule="auto"/>
      <w:ind w:left="0" w:leftChars="0"/>
      <w:textAlignment w:val="baseline"/>
    </w:pPr>
    <w:rPr>
      <w:rFonts w:ascii="仿宋" w:hAnsi="仿宋" w:eastAsia="仿宋" w:cs="仿宋"/>
      <w:bCs/>
      <w:spacing w:val="3"/>
      <w:sz w:val="28"/>
      <w:szCs w:val="28"/>
      <w:shd w:val="clear" w:color="auto" w:fill="FFFFFF"/>
    </w:rPr>
  </w:style>
  <w:style w:type="table" w:styleId="29">
    <w:name w:val="Table Grid"/>
    <w:basedOn w:val="2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1">
    <w:name w:val="Strong"/>
    <w:qFormat/>
    <w:uiPriority w:val="22"/>
    <w:rPr>
      <w:b/>
      <w:bCs/>
    </w:rPr>
  </w:style>
  <w:style w:type="character" w:styleId="32">
    <w:name w:val="page number"/>
    <w:qFormat/>
    <w:uiPriority w:val="0"/>
    <w:rPr>
      <w:rFonts w:ascii="宋体" w:hAnsi="Times New Roman" w:eastAsia="宋体"/>
      <w:sz w:val="18"/>
    </w:rPr>
  </w:style>
  <w:style w:type="character" w:styleId="33">
    <w:name w:val="Emphasis"/>
    <w:qFormat/>
    <w:uiPriority w:val="20"/>
    <w:rPr>
      <w:i/>
      <w:iCs/>
    </w:rPr>
  </w:style>
  <w:style w:type="character" w:styleId="34">
    <w:name w:val="Hyperlink"/>
    <w:qFormat/>
    <w:uiPriority w:val="99"/>
    <w:rPr>
      <w:rFonts w:ascii="宋体" w:hAnsi="Times New Roman" w:eastAsia="宋体"/>
      <w:color w:val="auto"/>
      <w:spacing w:val="0"/>
      <w:w w:val="100"/>
      <w:position w:val="0"/>
      <w:sz w:val="21"/>
      <w:u w:val="none"/>
      <w:vertAlign w:val="baseline"/>
    </w:rPr>
  </w:style>
  <w:style w:type="character" w:styleId="35">
    <w:name w:val="footnote reference"/>
    <w:semiHidden/>
    <w:qFormat/>
    <w:uiPriority w:val="0"/>
    <w:rPr>
      <w:rFonts w:ascii="宋体" w:hAnsi="宋体" w:eastAsia="宋体" w:cs="Times New Roman"/>
      <w:spacing w:val="0"/>
      <w:sz w:val="18"/>
      <w:vertAlign w:val="superscript"/>
    </w:rPr>
  </w:style>
  <w:style w:type="character" w:customStyle="1" w:styleId="36">
    <w:name w:val="标题 1 Char"/>
    <w:link w:val="2"/>
    <w:qFormat/>
    <w:uiPriority w:val="0"/>
    <w:rPr>
      <w:b/>
      <w:bCs/>
      <w:kern w:val="44"/>
      <w:sz w:val="44"/>
      <w:szCs w:val="44"/>
    </w:rPr>
  </w:style>
  <w:style w:type="character" w:customStyle="1" w:styleId="37">
    <w:name w:val="标题 2 Char"/>
    <w:link w:val="3"/>
    <w:qFormat/>
    <w:uiPriority w:val="0"/>
    <w:rPr>
      <w:rFonts w:ascii="Arial" w:hAnsi="Arial" w:eastAsia="黑体"/>
      <w:b/>
      <w:bCs/>
      <w:kern w:val="2"/>
      <w:sz w:val="32"/>
      <w:szCs w:val="32"/>
    </w:rPr>
  </w:style>
  <w:style w:type="character" w:customStyle="1" w:styleId="38">
    <w:name w:val="标题 3 Char"/>
    <w:link w:val="4"/>
    <w:qFormat/>
    <w:uiPriority w:val="0"/>
    <w:rPr>
      <w:b/>
      <w:bCs/>
      <w:kern w:val="2"/>
      <w:sz w:val="32"/>
      <w:szCs w:val="32"/>
    </w:rPr>
  </w:style>
  <w:style w:type="character" w:customStyle="1" w:styleId="39">
    <w:name w:val="标题 4 Char"/>
    <w:link w:val="5"/>
    <w:qFormat/>
    <w:uiPriority w:val="0"/>
    <w:rPr>
      <w:rFonts w:ascii="Arial" w:hAnsi="Arial" w:eastAsia="黑体"/>
      <w:b/>
      <w:bCs/>
      <w:kern w:val="2"/>
      <w:sz w:val="28"/>
      <w:szCs w:val="28"/>
    </w:rPr>
  </w:style>
  <w:style w:type="character" w:customStyle="1" w:styleId="40">
    <w:name w:val="标题 5 Char"/>
    <w:link w:val="6"/>
    <w:qFormat/>
    <w:uiPriority w:val="0"/>
    <w:rPr>
      <w:b/>
      <w:bCs/>
      <w:kern w:val="2"/>
      <w:sz w:val="28"/>
      <w:szCs w:val="28"/>
    </w:rPr>
  </w:style>
  <w:style w:type="character" w:customStyle="1" w:styleId="41">
    <w:name w:val="标题 6 Char"/>
    <w:link w:val="7"/>
    <w:qFormat/>
    <w:uiPriority w:val="0"/>
    <w:rPr>
      <w:rFonts w:ascii="Arial" w:hAnsi="Arial" w:eastAsia="黑体"/>
      <w:b/>
      <w:bCs/>
      <w:kern w:val="2"/>
      <w:sz w:val="24"/>
      <w:szCs w:val="24"/>
    </w:rPr>
  </w:style>
  <w:style w:type="character" w:customStyle="1" w:styleId="42">
    <w:name w:val="标题 7 Char"/>
    <w:link w:val="8"/>
    <w:qFormat/>
    <w:uiPriority w:val="0"/>
    <w:rPr>
      <w:b/>
      <w:bCs/>
      <w:kern w:val="2"/>
      <w:sz w:val="24"/>
      <w:szCs w:val="24"/>
    </w:rPr>
  </w:style>
  <w:style w:type="character" w:customStyle="1" w:styleId="43">
    <w:name w:val="标题 8 Char"/>
    <w:link w:val="9"/>
    <w:qFormat/>
    <w:uiPriority w:val="0"/>
    <w:rPr>
      <w:rFonts w:ascii="Arial" w:hAnsi="Arial" w:eastAsia="黑体"/>
      <w:kern w:val="2"/>
      <w:sz w:val="24"/>
      <w:szCs w:val="24"/>
    </w:rPr>
  </w:style>
  <w:style w:type="character" w:customStyle="1" w:styleId="44">
    <w:name w:val="标题 9 Char"/>
    <w:link w:val="10"/>
    <w:qFormat/>
    <w:uiPriority w:val="0"/>
    <w:rPr>
      <w:rFonts w:ascii="Arial" w:hAnsi="Arial" w:eastAsia="黑体"/>
      <w:kern w:val="2"/>
      <w:sz w:val="21"/>
      <w:szCs w:val="21"/>
    </w:rPr>
  </w:style>
  <w:style w:type="character" w:customStyle="1" w:styleId="45">
    <w:name w:val="页眉 Char"/>
    <w:link w:val="19"/>
    <w:qFormat/>
    <w:uiPriority w:val="99"/>
    <w:rPr>
      <w:kern w:val="2"/>
      <w:sz w:val="18"/>
      <w:szCs w:val="18"/>
    </w:rPr>
  </w:style>
  <w:style w:type="character" w:customStyle="1" w:styleId="46">
    <w:name w:val="页脚 Char"/>
    <w:link w:val="18"/>
    <w:qFormat/>
    <w:uiPriority w:val="99"/>
    <w:rPr>
      <w:rFonts w:ascii="宋体"/>
      <w:kern w:val="2"/>
      <w:sz w:val="18"/>
      <w:szCs w:val="18"/>
    </w:rPr>
  </w:style>
  <w:style w:type="character" w:customStyle="1" w:styleId="47">
    <w:name w:val="批注框文本 Char"/>
    <w:link w:val="17"/>
    <w:semiHidden/>
    <w:qFormat/>
    <w:uiPriority w:val="99"/>
    <w:rPr>
      <w:kern w:val="2"/>
      <w:sz w:val="18"/>
      <w:szCs w:val="18"/>
    </w:rPr>
  </w:style>
  <w:style w:type="paragraph" w:styleId="48">
    <w:name w:val="Quote"/>
    <w:basedOn w:val="1"/>
    <w:next w:val="1"/>
    <w:link w:val="49"/>
    <w:qFormat/>
    <w:uiPriority w:val="29"/>
    <w:rPr>
      <w:i/>
      <w:iCs/>
      <w:color w:val="000000"/>
    </w:rPr>
  </w:style>
  <w:style w:type="character" w:customStyle="1" w:styleId="49">
    <w:name w:val="引用 Char"/>
    <w:link w:val="48"/>
    <w:qFormat/>
    <w:uiPriority w:val="29"/>
    <w:rPr>
      <w:i/>
      <w:iCs/>
      <w:color w:val="000000"/>
      <w:kern w:val="2"/>
      <w:sz w:val="21"/>
      <w:szCs w:val="21"/>
    </w:rPr>
  </w:style>
  <w:style w:type="character" w:customStyle="1" w:styleId="50">
    <w:name w:val="标题 Char"/>
    <w:link w:val="26"/>
    <w:qFormat/>
    <w:uiPriority w:val="0"/>
    <w:rPr>
      <w:rFonts w:ascii="Arial" w:hAnsi="Arial" w:cs="Arial"/>
      <w:b/>
      <w:bCs/>
      <w:kern w:val="2"/>
      <w:sz w:val="32"/>
      <w:szCs w:val="32"/>
    </w:rPr>
  </w:style>
  <w:style w:type="paragraph" w:customStyle="1" w:styleId="51">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2">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3">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4">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5">
    <w:name w:val="标准书眉一"/>
    <w:qFormat/>
    <w:uiPriority w:val="0"/>
    <w:pPr>
      <w:jc w:val="both"/>
    </w:pPr>
    <w:rPr>
      <w:rFonts w:ascii="Times New Roman" w:hAnsi="Times New Roman" w:eastAsia="宋体" w:cs="Times New Roman"/>
      <w:lang w:val="en-US" w:eastAsia="zh-CN" w:bidi="ar-SA"/>
    </w:rPr>
  </w:style>
  <w:style w:type="paragraph" w:customStyle="1" w:styleId="56">
    <w:name w:val="标准文件_ICS"/>
    <w:basedOn w:val="1"/>
    <w:qFormat/>
    <w:uiPriority w:val="0"/>
    <w:pPr>
      <w:spacing w:line="0" w:lineRule="atLeast"/>
    </w:pPr>
    <w:rPr>
      <w:rFonts w:ascii="黑体" w:hAnsi="宋体" w:eastAsia="黑体"/>
    </w:rPr>
  </w:style>
  <w:style w:type="paragraph" w:customStyle="1" w:styleId="57">
    <w:name w:val="标准文件_标准正文"/>
    <w:basedOn w:val="1"/>
    <w:next w:val="58"/>
    <w:qFormat/>
    <w:uiPriority w:val="0"/>
    <w:pPr>
      <w:snapToGrid w:val="0"/>
      <w:ind w:firstLine="200" w:firstLineChars="200"/>
    </w:pPr>
    <w:rPr>
      <w:kern w:val="0"/>
    </w:rPr>
  </w:style>
  <w:style w:type="paragraph" w:customStyle="1" w:styleId="58">
    <w:name w:val="标准文件_段"/>
    <w:link w:val="186"/>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9">
    <w:name w:val="标准文件_版本"/>
    <w:basedOn w:val="57"/>
    <w:qFormat/>
    <w:uiPriority w:val="0"/>
    <w:pPr>
      <w:adjustRightInd/>
      <w:snapToGrid/>
      <w:ind w:firstLine="0" w:firstLineChars="0"/>
    </w:pPr>
    <w:rPr>
      <w:rFonts w:ascii="宋体" w:hAnsi="宋体"/>
      <w:kern w:val="2"/>
    </w:rPr>
  </w:style>
  <w:style w:type="paragraph" w:customStyle="1" w:styleId="60">
    <w:name w:val="标准文件_标准部门"/>
    <w:basedOn w:val="1"/>
    <w:qFormat/>
    <w:uiPriority w:val="0"/>
    <w:pPr>
      <w:jc w:val="center"/>
    </w:pPr>
    <w:rPr>
      <w:rFonts w:ascii="黑体" w:eastAsia="黑体"/>
      <w:kern w:val="0"/>
      <w:sz w:val="44"/>
    </w:rPr>
  </w:style>
  <w:style w:type="paragraph" w:customStyle="1" w:styleId="61">
    <w:name w:val="标准文件_标准代替"/>
    <w:basedOn w:val="1"/>
    <w:next w:val="1"/>
    <w:qFormat/>
    <w:uiPriority w:val="0"/>
    <w:pPr>
      <w:spacing w:line="310" w:lineRule="exact"/>
      <w:jc w:val="right"/>
    </w:pPr>
    <w:rPr>
      <w:rFonts w:ascii="宋体" w:hAnsi="宋体"/>
      <w:kern w:val="0"/>
    </w:rPr>
  </w:style>
  <w:style w:type="paragraph" w:customStyle="1" w:styleId="62">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3">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4">
    <w:name w:val="标准文件_页眉偶数页"/>
    <w:basedOn w:val="63"/>
    <w:next w:val="1"/>
    <w:qFormat/>
    <w:uiPriority w:val="0"/>
    <w:pPr>
      <w:jc w:val="left"/>
    </w:pPr>
  </w:style>
  <w:style w:type="paragraph" w:customStyle="1" w:styleId="65">
    <w:name w:val="标准文件_参考文献标题"/>
    <w:basedOn w:val="1"/>
    <w:next w:val="1"/>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6">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7">
    <w:name w:val="标准文件_二级条标题"/>
    <w:next w:val="58"/>
    <w:qFormat/>
    <w:uiPriority w:val="0"/>
    <w:pPr>
      <w:widowControl w:val="0"/>
      <w:numPr>
        <w:ilvl w:val="3"/>
        <w:numId w:val="2"/>
      </w:numPr>
      <w:spacing w:before="50" w:beforeLines="50" w:after="50" w:afterLines="50"/>
      <w:ind w:left="0"/>
      <w:jc w:val="both"/>
      <w:outlineLvl w:val="2"/>
    </w:pPr>
    <w:rPr>
      <w:rFonts w:ascii="黑体" w:hAnsi="Times New Roman" w:eastAsia="黑体" w:cs="Times New Roman"/>
      <w:sz w:val="21"/>
      <w:lang w:val="en-US" w:eastAsia="zh-CN" w:bidi="ar-SA"/>
    </w:rPr>
  </w:style>
  <w:style w:type="character" w:customStyle="1" w:styleId="68">
    <w:name w:val="标准文件_发布"/>
    <w:qFormat/>
    <w:uiPriority w:val="0"/>
    <w:rPr>
      <w:rFonts w:ascii="黑体" w:eastAsia="黑体"/>
      <w:spacing w:val="0"/>
      <w:w w:val="100"/>
      <w:position w:val="3"/>
      <w:sz w:val="28"/>
    </w:rPr>
  </w:style>
  <w:style w:type="paragraph" w:customStyle="1" w:styleId="69">
    <w:name w:val="标准文件_方框数字列项"/>
    <w:basedOn w:val="58"/>
    <w:qFormat/>
    <w:uiPriority w:val="0"/>
    <w:pPr>
      <w:numPr>
        <w:ilvl w:val="0"/>
        <w:numId w:val="3"/>
      </w:numPr>
      <w:ind w:firstLine="0" w:firstLineChars="0"/>
    </w:pPr>
  </w:style>
  <w:style w:type="paragraph" w:customStyle="1" w:styleId="70">
    <w:name w:val="标准文件_封面标准编号"/>
    <w:basedOn w:val="1"/>
    <w:next w:val="61"/>
    <w:qFormat/>
    <w:uiPriority w:val="0"/>
    <w:pPr>
      <w:spacing w:line="310" w:lineRule="exact"/>
      <w:jc w:val="right"/>
    </w:pPr>
    <w:rPr>
      <w:rFonts w:ascii="黑体" w:eastAsia="黑体"/>
      <w:kern w:val="0"/>
      <w:sz w:val="28"/>
    </w:rPr>
  </w:style>
  <w:style w:type="paragraph" w:customStyle="1" w:styleId="71">
    <w:name w:val="标准文件_封面标准分类号"/>
    <w:basedOn w:val="1"/>
    <w:qFormat/>
    <w:uiPriority w:val="0"/>
    <w:rPr>
      <w:rFonts w:ascii="黑体" w:eastAsia="黑体"/>
      <w:b/>
      <w:kern w:val="0"/>
      <w:sz w:val="28"/>
    </w:rPr>
  </w:style>
  <w:style w:type="paragraph" w:customStyle="1" w:styleId="72">
    <w:name w:val="标准文件_封面标准名称"/>
    <w:basedOn w:val="1"/>
    <w:qFormat/>
    <w:uiPriority w:val="0"/>
    <w:pPr>
      <w:spacing w:line="240" w:lineRule="auto"/>
      <w:jc w:val="center"/>
    </w:pPr>
    <w:rPr>
      <w:rFonts w:ascii="黑体" w:eastAsia="黑体"/>
      <w:kern w:val="0"/>
      <w:sz w:val="52"/>
    </w:rPr>
  </w:style>
  <w:style w:type="paragraph" w:customStyle="1" w:styleId="73">
    <w:name w:val="标准文件_封面标准英文名称"/>
    <w:basedOn w:val="1"/>
    <w:qFormat/>
    <w:uiPriority w:val="0"/>
    <w:pPr>
      <w:spacing w:line="240" w:lineRule="auto"/>
      <w:jc w:val="center"/>
    </w:pPr>
    <w:rPr>
      <w:rFonts w:ascii="黑体" w:eastAsia="黑体"/>
      <w:b/>
      <w:sz w:val="28"/>
    </w:rPr>
  </w:style>
  <w:style w:type="paragraph" w:customStyle="1" w:styleId="74">
    <w:name w:val="标准文件_封面发布日期"/>
    <w:basedOn w:val="1"/>
    <w:qFormat/>
    <w:uiPriority w:val="0"/>
    <w:pPr>
      <w:spacing w:line="310" w:lineRule="exact"/>
    </w:pPr>
    <w:rPr>
      <w:rFonts w:ascii="黑体" w:eastAsia="黑体"/>
      <w:kern w:val="0"/>
      <w:sz w:val="28"/>
    </w:rPr>
  </w:style>
  <w:style w:type="paragraph" w:customStyle="1" w:styleId="75">
    <w:name w:val="标准文件_封面密级"/>
    <w:basedOn w:val="1"/>
    <w:qFormat/>
    <w:uiPriority w:val="0"/>
    <w:rPr>
      <w:rFonts w:eastAsia="黑体"/>
      <w:sz w:val="32"/>
    </w:rPr>
  </w:style>
  <w:style w:type="paragraph" w:customStyle="1" w:styleId="76">
    <w:name w:val="标准文件_封面实施日期"/>
    <w:basedOn w:val="1"/>
    <w:qFormat/>
    <w:uiPriority w:val="0"/>
    <w:pPr>
      <w:spacing w:line="310" w:lineRule="exact"/>
      <w:jc w:val="right"/>
    </w:pPr>
    <w:rPr>
      <w:rFonts w:ascii="黑体" w:eastAsia="黑体"/>
      <w:sz w:val="28"/>
    </w:rPr>
  </w:style>
  <w:style w:type="paragraph" w:customStyle="1" w:styleId="77">
    <w:name w:val="标准文件_封面抬头"/>
    <w:basedOn w:val="58"/>
    <w:qFormat/>
    <w:uiPriority w:val="0"/>
    <w:pPr>
      <w:adjustRightInd w:val="0"/>
      <w:spacing w:line="800" w:lineRule="exact"/>
      <w:ind w:firstLine="0" w:firstLineChars="0"/>
      <w:jc w:val="distribute"/>
    </w:pPr>
    <w:rPr>
      <w:rFonts w:ascii="黑体" w:eastAsia="黑体"/>
      <w:b/>
      <w:sz w:val="64"/>
    </w:rPr>
  </w:style>
  <w:style w:type="paragraph" w:customStyle="1" w:styleId="78">
    <w:name w:val="标准文件_附录标识"/>
    <w:next w:val="58"/>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9">
    <w:name w:val="标准文件_附录表标题"/>
    <w:next w:val="58"/>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80">
    <w:name w:val="标准文件_附录一级条标题"/>
    <w:next w:val="58"/>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1">
    <w:name w:val="标准文件_附录二级条标题"/>
    <w:basedOn w:val="80"/>
    <w:next w:val="58"/>
    <w:qFormat/>
    <w:uiPriority w:val="0"/>
    <w:pPr>
      <w:widowControl/>
      <w:numPr>
        <w:ilvl w:val="2"/>
      </w:numPr>
      <w:wordWrap w:val="0"/>
      <w:overflowPunct w:val="0"/>
      <w:autoSpaceDE w:val="0"/>
      <w:autoSpaceDN w:val="0"/>
      <w:textAlignment w:val="baseline"/>
      <w:outlineLvl w:val="3"/>
    </w:pPr>
  </w:style>
  <w:style w:type="paragraph" w:customStyle="1" w:styleId="82">
    <w:name w:val="标准文件_附录公式"/>
    <w:basedOn w:val="57"/>
    <w:next w:val="57"/>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3">
    <w:name w:val="标准文件_附录三级条标题"/>
    <w:next w:val="58"/>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4">
    <w:name w:val="标准文件_附录四级条标题"/>
    <w:next w:val="58"/>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5">
    <w:name w:val="标准文件_附录图标题"/>
    <w:next w:val="58"/>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6">
    <w:name w:val="标准文件_附录五级条标题"/>
    <w:next w:val="58"/>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7">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8">
    <w:name w:val="正文文本 Char"/>
    <w:link w:val="13"/>
    <w:qFormat/>
    <w:uiPriority w:val="0"/>
    <w:rPr>
      <w:kern w:val="2"/>
      <w:sz w:val="21"/>
      <w:szCs w:val="21"/>
    </w:rPr>
  </w:style>
  <w:style w:type="paragraph" w:customStyle="1" w:styleId="89">
    <w:name w:val="标准文件_附录章标题"/>
    <w:next w:val="58"/>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90">
    <w:name w:val="标准文件_公式后的破折号"/>
    <w:basedOn w:val="58"/>
    <w:next w:val="58"/>
    <w:qFormat/>
    <w:uiPriority w:val="0"/>
    <w:pPr>
      <w:ind w:left="488" w:leftChars="200" w:hanging="289" w:hangingChars="290"/>
    </w:pPr>
  </w:style>
  <w:style w:type="paragraph" w:customStyle="1" w:styleId="91">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2">
    <w:name w:val="标准文件_目次、标准名称标题"/>
    <w:basedOn w:val="91"/>
    <w:next w:val="58"/>
    <w:qFormat/>
    <w:uiPriority w:val="0"/>
    <w:pPr>
      <w:spacing w:line="460" w:lineRule="exact"/>
      <w:ind w:left="0" w:firstLine="0"/>
    </w:pPr>
  </w:style>
  <w:style w:type="paragraph" w:customStyle="1" w:styleId="93">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4">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5">
    <w:name w:val="标准文件_破折号列项（二级）"/>
    <w:basedOn w:val="94"/>
    <w:qFormat/>
    <w:uiPriority w:val="0"/>
    <w:pPr>
      <w:numPr>
        <w:numId w:val="10"/>
      </w:numPr>
    </w:pPr>
  </w:style>
  <w:style w:type="paragraph" w:customStyle="1" w:styleId="96">
    <w:name w:val="标准文件_三级条标题"/>
    <w:basedOn w:val="67"/>
    <w:next w:val="58"/>
    <w:qFormat/>
    <w:uiPriority w:val="0"/>
    <w:pPr>
      <w:widowControl/>
      <w:numPr>
        <w:ilvl w:val="4"/>
      </w:numPr>
      <w:outlineLvl w:val="3"/>
    </w:pPr>
  </w:style>
  <w:style w:type="character" w:customStyle="1" w:styleId="97">
    <w:name w:val="不明显参考1"/>
    <w:qFormat/>
    <w:uiPriority w:val="31"/>
    <w:rPr>
      <w:smallCaps/>
      <w:color w:val="C0504D"/>
      <w:u w:val="single"/>
    </w:rPr>
  </w:style>
  <w:style w:type="paragraph" w:customStyle="1" w:styleId="98">
    <w:name w:val="标准文件_示例后续"/>
    <w:basedOn w:val="1"/>
    <w:qFormat/>
    <w:uiPriority w:val="0"/>
    <w:pPr>
      <w:adjustRightInd/>
      <w:spacing w:line="240" w:lineRule="auto"/>
      <w:ind w:firstLine="200" w:firstLineChars="200"/>
    </w:pPr>
    <w:rPr>
      <w:sz w:val="18"/>
      <w:szCs w:val="24"/>
    </w:rPr>
  </w:style>
  <w:style w:type="paragraph" w:customStyle="1" w:styleId="99">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100">
    <w:name w:val="标准文件_四级条标题"/>
    <w:next w:val="58"/>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1">
    <w:name w:val="脚注文本 Char"/>
    <w:link w:val="22"/>
    <w:semiHidden/>
    <w:qFormat/>
    <w:uiPriority w:val="0"/>
    <w:rPr>
      <w:rFonts w:ascii="宋体"/>
      <w:kern w:val="2"/>
      <w:sz w:val="18"/>
      <w:szCs w:val="18"/>
    </w:rPr>
  </w:style>
  <w:style w:type="paragraph" w:customStyle="1" w:styleId="102">
    <w:name w:val="标准文件_条文脚注"/>
    <w:basedOn w:val="22"/>
    <w:qFormat/>
    <w:uiPriority w:val="0"/>
    <w:pPr>
      <w:adjustRightInd w:val="0"/>
      <w:spacing w:line="240" w:lineRule="auto"/>
      <w:ind w:left="0" w:leftChars="0" w:firstLine="200" w:firstLineChars="200"/>
      <w:jc w:val="both"/>
    </w:pPr>
    <w:rPr>
      <w:rFonts w:hAnsi="宋体"/>
    </w:rPr>
  </w:style>
  <w:style w:type="paragraph" w:customStyle="1" w:styleId="103">
    <w:name w:val="标准文件_图表脚注"/>
    <w:basedOn w:val="1"/>
    <w:next w:val="58"/>
    <w:qFormat/>
    <w:uiPriority w:val="0"/>
    <w:pPr>
      <w:numPr>
        <w:ilvl w:val="0"/>
        <w:numId w:val="12"/>
      </w:numPr>
      <w:spacing w:line="240" w:lineRule="auto"/>
      <w:jc w:val="left"/>
    </w:pPr>
    <w:rPr>
      <w:rFonts w:ascii="宋体" w:hAnsi="宋体"/>
      <w:sz w:val="18"/>
    </w:rPr>
  </w:style>
  <w:style w:type="character" w:customStyle="1" w:styleId="104">
    <w:name w:val="标准文件_图表脚注内容"/>
    <w:qFormat/>
    <w:uiPriority w:val="0"/>
    <w:rPr>
      <w:rFonts w:ascii="宋体" w:hAnsi="宋体" w:eastAsia="宋体" w:cs="Times New Roman"/>
      <w:spacing w:val="0"/>
      <w:sz w:val="18"/>
      <w:vertAlign w:val="superscript"/>
    </w:rPr>
  </w:style>
  <w:style w:type="paragraph" w:customStyle="1" w:styleId="105">
    <w:name w:val="标准文件_五级条标题"/>
    <w:next w:val="58"/>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6">
    <w:name w:val="标准文件_章标题"/>
    <w:next w:val="58"/>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7">
    <w:name w:val="标准文件_一级条标题"/>
    <w:basedOn w:val="106"/>
    <w:next w:val="58"/>
    <w:qFormat/>
    <w:uiPriority w:val="0"/>
    <w:pPr>
      <w:numPr>
        <w:ilvl w:val="2"/>
      </w:numPr>
      <w:spacing w:before="50" w:beforeLines="50" w:after="50" w:afterLines="50"/>
      <w:outlineLvl w:val="1"/>
    </w:pPr>
  </w:style>
  <w:style w:type="paragraph" w:customStyle="1" w:styleId="108">
    <w:name w:val="标准文件_一致程度"/>
    <w:basedOn w:val="1"/>
    <w:qFormat/>
    <w:uiPriority w:val="0"/>
    <w:pPr>
      <w:spacing w:line="440" w:lineRule="exact"/>
      <w:jc w:val="center"/>
    </w:pPr>
    <w:rPr>
      <w:sz w:val="28"/>
    </w:rPr>
  </w:style>
  <w:style w:type="paragraph" w:customStyle="1" w:styleId="109">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10">
    <w:name w:val="标准文件_英文图表脚注"/>
    <w:basedOn w:val="57"/>
    <w:qFormat/>
    <w:uiPriority w:val="0"/>
    <w:pPr>
      <w:widowControl/>
      <w:adjustRightInd/>
      <w:snapToGrid/>
      <w:spacing w:line="240" w:lineRule="auto"/>
      <w:ind w:left="79" w:hanging="79" w:hangingChars="80"/>
    </w:pPr>
    <w:rPr>
      <w:rFonts w:ascii="宋体" w:hAnsi="宋体"/>
    </w:rPr>
  </w:style>
  <w:style w:type="paragraph" w:customStyle="1" w:styleId="111">
    <w:name w:val="标准文件_数字编号列项（二级）"/>
    <w:qFormat/>
    <w:uiPriority w:val="0"/>
    <w:pPr>
      <w:numPr>
        <w:ilvl w:val="1"/>
        <w:numId w:val="13"/>
      </w:numPr>
      <w:tabs>
        <w:tab w:val="left" w:pos="851"/>
        <w:tab w:val="left" w:pos="1276"/>
      </w:tabs>
      <w:jc w:val="both"/>
    </w:pPr>
    <w:rPr>
      <w:rFonts w:ascii="宋体" w:hAnsi="Times New Roman" w:eastAsia="宋体" w:cs="Times New Roman"/>
      <w:sz w:val="21"/>
      <w:lang w:val="en-US" w:eastAsia="zh-CN" w:bidi="ar-SA"/>
    </w:rPr>
  </w:style>
  <w:style w:type="paragraph" w:customStyle="1" w:styleId="112">
    <w:name w:val="标准文件_英文注："/>
    <w:basedOn w:val="1"/>
    <w:next w:val="58"/>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3">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4">
    <w:name w:val="标准文件_正文表标题"/>
    <w:next w:val="58"/>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公式"/>
    <w:basedOn w:val="1"/>
    <w:next w:val="57"/>
    <w:qFormat/>
    <w:uiPriority w:val="0"/>
    <w:pPr>
      <w:tabs>
        <w:tab w:val="center" w:pos="4678"/>
        <w:tab w:val="right" w:leader="middleDot" w:pos="9356"/>
      </w:tabs>
      <w:spacing w:line="240" w:lineRule="auto"/>
    </w:pPr>
    <w:rPr>
      <w:rFonts w:ascii="宋体" w:hAnsi="宋体"/>
    </w:rPr>
  </w:style>
  <w:style w:type="paragraph" w:customStyle="1" w:styleId="116">
    <w:name w:val="标准文件_正文图标题"/>
    <w:next w:val="58"/>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7">
    <w:name w:val="标准文件_正文英文表标题"/>
    <w:next w:val="58"/>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8">
    <w:name w:val="标准文件_正文英文图标题"/>
    <w:next w:val="58"/>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9">
    <w:name w:val="标准文件_编号列项（三级）"/>
    <w:qFormat/>
    <w:uiPriority w:val="0"/>
    <w:pPr>
      <w:numPr>
        <w:ilvl w:val="2"/>
        <w:numId w:val="13"/>
      </w:numPr>
      <w:tabs>
        <w:tab w:val="left" w:pos="851"/>
      </w:tabs>
    </w:pPr>
    <w:rPr>
      <w:rFonts w:ascii="宋体" w:hAnsi="Times New Roman" w:eastAsia="宋体" w:cs="Times New Roman"/>
      <w:sz w:val="21"/>
      <w:lang w:val="en-US" w:eastAsia="zh-CN" w:bidi="ar-SA"/>
    </w:rPr>
  </w:style>
  <w:style w:type="paragraph" w:customStyle="1" w:styleId="120">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1">
    <w:name w:val="发布部门"/>
    <w:next w:val="58"/>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2">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3">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4">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5">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6">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7">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8">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9">
    <w:name w:val="封面正文"/>
    <w:qFormat/>
    <w:uiPriority w:val="0"/>
    <w:pPr>
      <w:jc w:val="both"/>
    </w:pPr>
    <w:rPr>
      <w:rFonts w:ascii="Times New Roman" w:hAnsi="Times New Roman" w:eastAsia="宋体" w:cs="Times New Roman"/>
      <w:lang w:val="en-US" w:eastAsia="zh-CN" w:bidi="ar-SA"/>
    </w:rPr>
  </w:style>
  <w:style w:type="paragraph" w:customStyle="1" w:styleId="130">
    <w:name w:val="附录二级无标题条"/>
    <w:basedOn w:val="1"/>
    <w:next w:val="58"/>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1">
    <w:name w:val="附录三级无标题条"/>
    <w:basedOn w:val="130"/>
    <w:next w:val="58"/>
    <w:qFormat/>
    <w:uiPriority w:val="0"/>
    <w:pPr>
      <w:outlineLvl w:val="4"/>
    </w:pPr>
  </w:style>
  <w:style w:type="paragraph" w:customStyle="1" w:styleId="132">
    <w:name w:val="附录四级无标题条"/>
    <w:basedOn w:val="131"/>
    <w:next w:val="58"/>
    <w:qFormat/>
    <w:uiPriority w:val="0"/>
    <w:pPr>
      <w:outlineLvl w:val="5"/>
    </w:pPr>
  </w:style>
  <w:style w:type="paragraph" w:customStyle="1" w:styleId="133">
    <w:name w:val="附录图"/>
    <w:next w:val="58"/>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4">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5">
    <w:name w:val="附录五级无标题条"/>
    <w:basedOn w:val="132"/>
    <w:next w:val="58"/>
    <w:qFormat/>
    <w:uiPriority w:val="0"/>
    <w:pPr>
      <w:outlineLvl w:val="6"/>
    </w:pPr>
  </w:style>
  <w:style w:type="paragraph" w:customStyle="1" w:styleId="136">
    <w:name w:val="附录性质"/>
    <w:basedOn w:val="1"/>
    <w:qFormat/>
    <w:uiPriority w:val="0"/>
    <w:pPr>
      <w:widowControl/>
      <w:adjustRightInd/>
      <w:jc w:val="center"/>
    </w:pPr>
    <w:rPr>
      <w:rFonts w:ascii="黑体" w:eastAsia="黑体"/>
    </w:rPr>
  </w:style>
  <w:style w:type="paragraph" w:customStyle="1" w:styleId="137">
    <w:name w:val="附录一级无标题条"/>
    <w:basedOn w:val="89"/>
    <w:next w:val="58"/>
    <w:qFormat/>
    <w:uiPriority w:val="0"/>
    <w:pPr>
      <w:autoSpaceDN w:val="0"/>
      <w:outlineLvl w:val="2"/>
    </w:pPr>
    <w:rPr>
      <w:rFonts w:ascii="宋体" w:hAnsi="宋体" w:eastAsia="宋体"/>
    </w:rPr>
  </w:style>
  <w:style w:type="character" w:customStyle="1" w:styleId="138">
    <w:name w:val="个人答复风格"/>
    <w:qFormat/>
    <w:uiPriority w:val="0"/>
    <w:rPr>
      <w:rFonts w:ascii="Arial" w:hAnsi="Arial" w:eastAsia="宋体" w:cs="Arial"/>
      <w:color w:val="auto"/>
      <w:spacing w:val="0"/>
      <w:sz w:val="20"/>
    </w:rPr>
  </w:style>
  <w:style w:type="character" w:customStyle="1" w:styleId="139">
    <w:name w:val="个人撰写风格"/>
    <w:qFormat/>
    <w:uiPriority w:val="0"/>
    <w:rPr>
      <w:rFonts w:ascii="Arial" w:hAnsi="Arial" w:eastAsia="宋体" w:cs="Arial"/>
      <w:color w:val="auto"/>
      <w:spacing w:val="0"/>
      <w:sz w:val="20"/>
    </w:rPr>
  </w:style>
  <w:style w:type="paragraph" w:customStyle="1" w:styleId="140">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1">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2">
    <w:name w:val="列项·"/>
    <w:basedOn w:val="58"/>
    <w:qFormat/>
    <w:uiPriority w:val="0"/>
    <w:pPr>
      <w:tabs>
        <w:tab w:val="left" w:pos="840"/>
      </w:tabs>
    </w:pPr>
  </w:style>
  <w:style w:type="paragraph" w:customStyle="1" w:styleId="143">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4">
    <w:name w:val="目录 21"/>
    <w:basedOn w:val="1"/>
    <w:next w:val="1"/>
    <w:semiHidden/>
    <w:qFormat/>
    <w:uiPriority w:val="0"/>
    <w:pPr>
      <w:adjustRightInd/>
      <w:spacing w:line="240" w:lineRule="auto"/>
      <w:jc w:val="left"/>
    </w:pPr>
    <w:rPr>
      <w:bCs/>
      <w:iCs/>
    </w:rPr>
  </w:style>
  <w:style w:type="paragraph" w:customStyle="1" w:styleId="145">
    <w:name w:val="目录 31"/>
    <w:basedOn w:val="1"/>
    <w:next w:val="1"/>
    <w:semiHidden/>
    <w:qFormat/>
    <w:uiPriority w:val="0"/>
    <w:pPr>
      <w:spacing w:line="240" w:lineRule="auto"/>
    </w:pPr>
    <w:rPr>
      <w:rFonts w:ascii="宋体" w:hAnsi="宋体"/>
      <w:iCs/>
    </w:rPr>
  </w:style>
  <w:style w:type="paragraph" w:customStyle="1" w:styleId="146">
    <w:name w:val="目录 41"/>
    <w:basedOn w:val="1"/>
    <w:next w:val="1"/>
    <w:semiHidden/>
    <w:qFormat/>
    <w:uiPriority w:val="0"/>
    <w:pPr>
      <w:adjustRightInd/>
      <w:spacing w:line="240" w:lineRule="auto"/>
      <w:jc w:val="left"/>
    </w:pPr>
  </w:style>
  <w:style w:type="paragraph" w:customStyle="1" w:styleId="147">
    <w:name w:val="目录 51"/>
    <w:basedOn w:val="1"/>
    <w:next w:val="1"/>
    <w:semiHidden/>
    <w:qFormat/>
    <w:uiPriority w:val="0"/>
    <w:pPr>
      <w:spacing w:line="240" w:lineRule="auto"/>
    </w:pPr>
    <w:rPr>
      <w:rFonts w:ascii="宋体" w:hAnsi="宋体"/>
    </w:rPr>
  </w:style>
  <w:style w:type="paragraph" w:customStyle="1" w:styleId="148">
    <w:name w:val="目录 61"/>
    <w:basedOn w:val="1"/>
    <w:next w:val="1"/>
    <w:semiHidden/>
    <w:qFormat/>
    <w:uiPriority w:val="0"/>
    <w:pPr>
      <w:adjustRightInd/>
      <w:spacing w:line="240" w:lineRule="auto"/>
      <w:jc w:val="left"/>
    </w:pPr>
  </w:style>
  <w:style w:type="paragraph" w:customStyle="1" w:styleId="149">
    <w:name w:val="目录 71"/>
    <w:basedOn w:val="148"/>
    <w:semiHidden/>
    <w:qFormat/>
    <w:uiPriority w:val="0"/>
    <w:pPr>
      <w:ind w:left="1260"/>
    </w:pPr>
  </w:style>
  <w:style w:type="paragraph" w:customStyle="1" w:styleId="150">
    <w:name w:val="目录 81"/>
    <w:basedOn w:val="149"/>
    <w:semiHidden/>
    <w:qFormat/>
    <w:uiPriority w:val="0"/>
    <w:pPr>
      <w:ind w:left="1470"/>
    </w:pPr>
  </w:style>
  <w:style w:type="paragraph" w:customStyle="1" w:styleId="151">
    <w:name w:val="目录 91"/>
    <w:basedOn w:val="150"/>
    <w:semiHidden/>
    <w:qFormat/>
    <w:uiPriority w:val="0"/>
    <w:pPr>
      <w:ind w:left="1680"/>
    </w:pPr>
  </w:style>
  <w:style w:type="paragraph" w:customStyle="1" w:styleId="152">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3">
    <w:name w:val="其他发布部门"/>
    <w:basedOn w:val="121"/>
    <w:qFormat/>
    <w:uiPriority w:val="0"/>
    <w:pPr>
      <w:framePr w:wrap="around"/>
      <w:spacing w:line="0" w:lineRule="atLeast"/>
    </w:pPr>
    <w:rPr>
      <w:rFonts w:ascii="黑体" w:eastAsia="黑体"/>
      <w:b w:val="0"/>
    </w:rPr>
  </w:style>
  <w:style w:type="paragraph" w:customStyle="1" w:styleId="154">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5">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6">
    <w:name w:val="实施日期"/>
    <w:basedOn w:val="122"/>
    <w:qFormat/>
    <w:uiPriority w:val="0"/>
    <w:pPr>
      <w:framePr w:hSpace="0" w:wrap="around" w:xAlign="right"/>
      <w:jc w:val="right"/>
    </w:pPr>
  </w:style>
  <w:style w:type="paragraph" w:customStyle="1" w:styleId="157">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8">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9">
    <w:name w:val="无标题条"/>
    <w:next w:val="58"/>
    <w:qFormat/>
    <w:uiPriority w:val="0"/>
    <w:pPr>
      <w:jc w:val="both"/>
    </w:pPr>
    <w:rPr>
      <w:rFonts w:ascii="宋体" w:hAnsi="宋体" w:eastAsia="宋体" w:cs="Times New Roman"/>
      <w:sz w:val="21"/>
      <w:lang w:val="en-US" w:eastAsia="zh-CN" w:bidi="ar-SA"/>
    </w:rPr>
  </w:style>
  <w:style w:type="paragraph" w:customStyle="1" w:styleId="160">
    <w:name w:val="五级无标题条"/>
    <w:basedOn w:val="1"/>
    <w:qFormat/>
    <w:uiPriority w:val="0"/>
    <w:pPr>
      <w:numPr>
        <w:ilvl w:val="6"/>
        <w:numId w:val="20"/>
      </w:numPr>
      <w:adjustRightInd/>
    </w:pPr>
    <w:rPr>
      <w:szCs w:val="24"/>
    </w:rPr>
  </w:style>
  <w:style w:type="paragraph" w:customStyle="1" w:styleId="161">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2">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3">
    <w:name w:val="注×:后续"/>
    <w:basedOn w:val="162"/>
    <w:qFormat/>
    <w:uiPriority w:val="0"/>
    <w:pPr>
      <w:ind w:left="1406" w:leftChars="0" w:hanging="499" w:firstLineChars="0"/>
    </w:pPr>
  </w:style>
  <w:style w:type="paragraph" w:customStyle="1" w:styleId="164">
    <w:name w:val="标准文件_一级无标题"/>
    <w:basedOn w:val="107"/>
    <w:qFormat/>
    <w:uiPriority w:val="0"/>
    <w:pPr>
      <w:spacing w:before="0" w:beforeLines="0" w:after="0" w:afterLines="0"/>
      <w:outlineLvl w:val="9"/>
    </w:pPr>
    <w:rPr>
      <w:rFonts w:ascii="宋体" w:eastAsia="宋体"/>
    </w:rPr>
  </w:style>
  <w:style w:type="paragraph" w:customStyle="1" w:styleId="165">
    <w:name w:val="标准文件_五级无标题"/>
    <w:basedOn w:val="105"/>
    <w:qFormat/>
    <w:uiPriority w:val="0"/>
    <w:pPr>
      <w:spacing w:before="0" w:beforeLines="0" w:after="0" w:afterLines="0"/>
      <w:outlineLvl w:val="9"/>
    </w:pPr>
    <w:rPr>
      <w:rFonts w:ascii="宋体" w:eastAsia="宋体"/>
    </w:rPr>
  </w:style>
  <w:style w:type="paragraph" w:customStyle="1" w:styleId="166">
    <w:name w:val="标准文件_三级无标题"/>
    <w:basedOn w:val="96"/>
    <w:qFormat/>
    <w:uiPriority w:val="0"/>
    <w:pPr>
      <w:spacing w:before="0" w:beforeLines="0" w:after="0" w:afterLines="0"/>
      <w:outlineLvl w:val="9"/>
    </w:pPr>
    <w:rPr>
      <w:rFonts w:ascii="宋体" w:eastAsia="宋体"/>
    </w:rPr>
  </w:style>
  <w:style w:type="paragraph" w:customStyle="1" w:styleId="167">
    <w:name w:val="标准文件_二级无标题"/>
    <w:basedOn w:val="67"/>
    <w:qFormat/>
    <w:uiPriority w:val="0"/>
    <w:pPr>
      <w:spacing w:before="0" w:beforeLines="0" w:after="0" w:afterLines="0"/>
      <w:outlineLvl w:val="9"/>
    </w:pPr>
    <w:rPr>
      <w:rFonts w:ascii="宋体" w:eastAsia="宋体"/>
    </w:rPr>
  </w:style>
  <w:style w:type="paragraph" w:customStyle="1" w:styleId="168">
    <w:name w:val="标准_四级无标题"/>
    <w:basedOn w:val="100"/>
    <w:next w:val="58"/>
    <w:qFormat/>
    <w:uiPriority w:val="0"/>
    <w:rPr>
      <w:rFonts w:eastAsia="宋体"/>
    </w:rPr>
  </w:style>
  <w:style w:type="paragraph" w:customStyle="1" w:styleId="169">
    <w:name w:val="标准文件_四级无标题"/>
    <w:basedOn w:val="100"/>
    <w:qFormat/>
    <w:uiPriority w:val="0"/>
    <w:pPr>
      <w:spacing w:before="0" w:beforeLines="0" w:after="0" w:afterLines="0"/>
      <w:outlineLvl w:val="9"/>
    </w:pPr>
    <w:rPr>
      <w:rFonts w:ascii="宋体" w:hAnsi="黑体" w:eastAsia="宋体"/>
      <w:szCs w:val="52"/>
    </w:rPr>
  </w:style>
  <w:style w:type="paragraph" w:customStyle="1" w:styleId="170">
    <w:name w:val="标准文件_大写罗马数字编号列项"/>
    <w:basedOn w:val="58"/>
    <w:qFormat/>
    <w:uiPriority w:val="0"/>
    <w:pPr>
      <w:numPr>
        <w:ilvl w:val="0"/>
        <w:numId w:val="23"/>
      </w:numPr>
      <w:ind w:firstLine="0" w:firstLineChars="0"/>
    </w:pPr>
    <w:rPr>
      <w:rFonts w:ascii="Times New Roman" w:cs="Arial"/>
      <w:szCs w:val="28"/>
    </w:rPr>
  </w:style>
  <w:style w:type="paragraph" w:customStyle="1" w:styleId="171">
    <w:name w:val="标准文件_小写罗马数字编号列项"/>
    <w:basedOn w:val="58"/>
    <w:qFormat/>
    <w:uiPriority w:val="0"/>
    <w:pPr>
      <w:numPr>
        <w:ilvl w:val="0"/>
        <w:numId w:val="24"/>
      </w:numPr>
      <w:ind w:firstLine="0" w:firstLineChars="0"/>
    </w:pPr>
    <w:rPr>
      <w:rFonts w:cs="Arial"/>
      <w:szCs w:val="28"/>
    </w:rPr>
  </w:style>
  <w:style w:type="paragraph" w:customStyle="1" w:styleId="172">
    <w:name w:val="标准文件_附录标题"/>
    <w:basedOn w:val="78"/>
    <w:qFormat/>
    <w:uiPriority w:val="0"/>
    <w:pPr>
      <w:numPr>
        <w:numId w:val="0"/>
      </w:numPr>
      <w:spacing w:after="280"/>
      <w:outlineLvl w:val="9"/>
    </w:pPr>
  </w:style>
  <w:style w:type="paragraph" w:customStyle="1" w:styleId="173">
    <w:name w:val="标准文件_二级项"/>
    <w:qFormat/>
    <w:uiPriority w:val="0"/>
    <w:rPr>
      <w:rFonts w:ascii="宋体" w:hAnsi="Times New Roman" w:eastAsia="宋体" w:cs="Times New Roman"/>
      <w:sz w:val="21"/>
      <w:lang w:val="en-US" w:eastAsia="zh-CN" w:bidi="ar-SA"/>
    </w:rPr>
  </w:style>
  <w:style w:type="paragraph" w:customStyle="1" w:styleId="174">
    <w:name w:val="标准文件_三级项"/>
    <w:basedOn w:val="1"/>
    <w:qFormat/>
    <w:uiPriority w:val="0"/>
    <w:pPr>
      <w:numPr>
        <w:ilvl w:val="2"/>
        <w:numId w:val="21"/>
      </w:numPr>
      <w:spacing w:line="536870612" w:lineRule="auto"/>
    </w:pPr>
    <w:rPr>
      <w:rFonts w:ascii="Times New Roman" w:hAnsi="Times New Roman"/>
    </w:rPr>
  </w:style>
  <w:style w:type="paragraph" w:customStyle="1" w:styleId="175">
    <w:name w:val="图表脚注说明"/>
    <w:basedOn w:val="1"/>
    <w:next w:val="58"/>
    <w:qFormat/>
    <w:uiPriority w:val="0"/>
    <w:pPr>
      <w:numPr>
        <w:ilvl w:val="0"/>
        <w:numId w:val="25"/>
      </w:numPr>
      <w:adjustRightInd/>
      <w:spacing w:line="240" w:lineRule="auto"/>
    </w:pPr>
    <w:rPr>
      <w:rFonts w:ascii="宋体" w:hAnsi="Times New Roman"/>
      <w:sz w:val="18"/>
      <w:szCs w:val="18"/>
    </w:rPr>
  </w:style>
  <w:style w:type="paragraph" w:customStyle="1" w:styleId="176">
    <w:name w:val="标准文件_字母编号列项（一级）"/>
    <w:qFormat/>
    <w:uiPriority w:val="0"/>
    <w:pPr>
      <w:tabs>
        <w:tab w:val="left" w:pos="426"/>
      </w:tabs>
      <w:ind w:firstLine="426"/>
    </w:pPr>
    <w:rPr>
      <w:rFonts w:ascii="宋体" w:hAnsi="Times New Roman" w:eastAsia="宋体" w:cs="Times New Roman"/>
      <w:sz w:val="21"/>
      <w:lang w:val="en-US" w:eastAsia="zh-CN" w:bidi="ar-SA"/>
    </w:rPr>
  </w:style>
  <w:style w:type="paragraph" w:customStyle="1" w:styleId="177">
    <w:name w:val="标准文件_索引字母"/>
    <w:next w:val="58"/>
    <w:qFormat/>
    <w:uiPriority w:val="0"/>
    <w:pPr>
      <w:jc w:val="center"/>
    </w:pPr>
    <w:rPr>
      <w:rFonts w:ascii="宋体" w:hAnsi="宋体" w:eastAsia="Times New Roman" w:cs="Times New Roman"/>
      <w:b/>
      <w:kern w:val="2"/>
      <w:sz w:val="21"/>
      <w:lang w:val="en-US" w:eastAsia="zh-CN" w:bidi="ar-SA"/>
    </w:rPr>
  </w:style>
  <w:style w:type="paragraph" w:customStyle="1" w:styleId="178">
    <w:name w:val="标准文件_附录前"/>
    <w:next w:val="58"/>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9">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80">
    <w:name w:val="标准文件_表格"/>
    <w:basedOn w:val="58"/>
    <w:qFormat/>
    <w:uiPriority w:val="0"/>
    <w:pPr>
      <w:ind w:firstLine="0" w:firstLineChars="0"/>
      <w:jc w:val="center"/>
    </w:pPr>
    <w:rPr>
      <w:sz w:val="18"/>
    </w:rPr>
  </w:style>
  <w:style w:type="paragraph" w:customStyle="1" w:styleId="181">
    <w:name w:val="标准文件_注："/>
    <w:next w:val="58"/>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2">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3">
    <w:name w:val="标准文件_示例："/>
    <w:next w:val="184"/>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4">
    <w:name w:val="标准文件_示例内容"/>
    <w:basedOn w:val="58"/>
    <w:qFormat/>
    <w:uiPriority w:val="0"/>
    <w:pPr>
      <w:ind w:firstLine="420"/>
    </w:pPr>
    <w:rPr>
      <w:sz w:val="18"/>
    </w:rPr>
  </w:style>
  <w:style w:type="paragraph" w:customStyle="1" w:styleId="185">
    <w:name w:val="标准文件_示例×："/>
    <w:basedOn w:val="1"/>
    <w:next w:val="184"/>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6">
    <w:name w:val="标准文件_段 Char"/>
    <w:link w:val="58"/>
    <w:qFormat/>
    <w:uiPriority w:val="0"/>
    <w:rPr>
      <w:rFonts w:ascii="宋体" w:hAnsi="Times New Roman"/>
      <w:sz w:val="21"/>
    </w:rPr>
  </w:style>
  <w:style w:type="paragraph" w:customStyle="1" w:styleId="187">
    <w:name w:val="标准文件_表格续"/>
    <w:basedOn w:val="58"/>
    <w:next w:val="58"/>
    <w:qFormat/>
    <w:uiPriority w:val="0"/>
    <w:pPr>
      <w:jc w:val="center"/>
    </w:pPr>
    <w:rPr>
      <w:rFonts w:ascii="黑体" w:hAnsi="黑体" w:eastAsia="黑体"/>
    </w:rPr>
  </w:style>
  <w:style w:type="character" w:styleId="188">
    <w:name w:val="Placeholder Text"/>
    <w:basedOn w:val="30"/>
    <w:semiHidden/>
    <w:qFormat/>
    <w:uiPriority w:val="99"/>
    <w:rPr>
      <w:color w:val="808080"/>
    </w:rPr>
  </w:style>
  <w:style w:type="paragraph" w:customStyle="1" w:styleId="189">
    <w:name w:val="标准文件_二级项2"/>
    <w:basedOn w:val="58"/>
    <w:qFormat/>
    <w:uiPriority w:val="0"/>
    <w:pPr>
      <w:numPr>
        <w:ilvl w:val="1"/>
        <w:numId w:val="21"/>
      </w:numPr>
      <w:ind w:firstLine="0" w:firstLineChars="0"/>
    </w:pPr>
  </w:style>
  <w:style w:type="paragraph" w:customStyle="1" w:styleId="190">
    <w:name w:val="标准文件_三级项2"/>
    <w:basedOn w:val="58"/>
    <w:qFormat/>
    <w:uiPriority w:val="0"/>
    <w:pPr>
      <w:numPr>
        <w:ilvl w:val="0"/>
        <w:numId w:val="30"/>
      </w:numPr>
      <w:spacing w:line="300" w:lineRule="exact"/>
      <w:ind w:firstLineChars="0"/>
    </w:pPr>
    <w:rPr>
      <w:rFonts w:ascii="Times New Roman"/>
    </w:rPr>
  </w:style>
  <w:style w:type="paragraph" w:customStyle="1" w:styleId="191">
    <w:name w:val="标准文件_一级项2"/>
    <w:basedOn w:val="58"/>
    <w:qFormat/>
    <w:uiPriority w:val="0"/>
    <w:pPr>
      <w:numPr>
        <w:ilvl w:val="0"/>
        <w:numId w:val="31"/>
      </w:numPr>
      <w:spacing w:line="300" w:lineRule="exact"/>
      <w:ind w:firstLineChars="0"/>
    </w:pPr>
    <w:rPr>
      <w:rFonts w:ascii="Times New Roman"/>
    </w:rPr>
  </w:style>
  <w:style w:type="paragraph" w:customStyle="1" w:styleId="192">
    <w:name w:val="标准文件_提示"/>
    <w:basedOn w:val="58"/>
    <w:next w:val="58"/>
    <w:qFormat/>
    <w:uiPriority w:val="0"/>
    <w:pPr>
      <w:ind w:firstLine="420"/>
    </w:pPr>
    <w:rPr>
      <w:rFonts w:ascii="黑体" w:eastAsia="黑体"/>
    </w:rPr>
  </w:style>
  <w:style w:type="character" w:customStyle="1" w:styleId="193">
    <w:name w:val="标准文件_来源"/>
    <w:basedOn w:val="30"/>
    <w:qFormat/>
    <w:uiPriority w:val="1"/>
    <w:rPr>
      <w:rFonts w:eastAsia="宋体"/>
      <w:sz w:val="21"/>
    </w:rPr>
  </w:style>
  <w:style w:type="paragraph" w:customStyle="1" w:styleId="194">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5">
    <w:name w:val="其他发布日期"/>
    <w:basedOn w:val="122"/>
    <w:qFormat/>
    <w:uiPriority w:val="0"/>
    <w:pPr>
      <w:framePr w:w="3997" w:h="471" w:hRule="exact" w:hSpace="0" w:vSpace="181" w:wrap="around" w:vAnchor="page" w:hAnchor="page" w:x="1419" w:y="14097"/>
    </w:pPr>
  </w:style>
  <w:style w:type="paragraph" w:customStyle="1" w:styleId="196">
    <w:name w:val="其他实施日期"/>
    <w:basedOn w:val="156"/>
    <w:qFormat/>
    <w:uiPriority w:val="0"/>
    <w:pPr>
      <w:framePr w:w="3997" w:h="471" w:hRule="exact" w:vSpace="181" w:wrap="around" w:vAnchor="page" w:hAnchor="page" w:x="7089" w:y="14097"/>
    </w:pPr>
  </w:style>
  <w:style w:type="paragraph" w:customStyle="1" w:styleId="197">
    <w:name w:val="标准文件_文件编号"/>
    <w:basedOn w:val="58"/>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8">
    <w:name w:val="标准文件_替换文件编号"/>
    <w:basedOn w:val="197"/>
    <w:qFormat/>
    <w:uiPriority w:val="0"/>
    <w:pPr>
      <w:spacing w:before="57"/>
    </w:pPr>
    <w:rPr>
      <w:sz w:val="21"/>
    </w:rPr>
  </w:style>
  <w:style w:type="paragraph" w:customStyle="1" w:styleId="199">
    <w:name w:val="标准文件_文件名称"/>
    <w:basedOn w:val="58"/>
    <w:next w:val="58"/>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200">
    <w:name w:val="标准文件_附录图标号"/>
    <w:basedOn w:val="58"/>
    <w:next w:val="58"/>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1">
    <w:name w:val="标准文件_附录表标号"/>
    <w:basedOn w:val="58"/>
    <w:next w:val="58"/>
    <w:qFormat/>
    <w:uiPriority w:val="0"/>
    <w:pPr>
      <w:numPr>
        <w:ilvl w:val="0"/>
        <w:numId w:val="5"/>
      </w:numPr>
      <w:spacing w:line="14" w:lineRule="exact"/>
      <w:ind w:firstLine="0" w:firstLineChars="0"/>
      <w:jc w:val="center"/>
    </w:pPr>
    <w:rPr>
      <w:rFonts w:eastAsia="黑体"/>
      <w:vanish/>
      <w:sz w:val="2"/>
    </w:rPr>
  </w:style>
  <w:style w:type="paragraph" w:customStyle="1" w:styleId="202">
    <w:name w:val="标准文件_引言一级条标题"/>
    <w:basedOn w:val="58"/>
    <w:next w:val="58"/>
    <w:qFormat/>
    <w:uiPriority w:val="0"/>
    <w:pPr>
      <w:numPr>
        <w:ilvl w:val="1"/>
        <w:numId w:val="8"/>
      </w:numPr>
      <w:spacing w:before="50" w:beforeLines="50" w:after="50" w:afterLines="50"/>
      <w:ind w:firstLineChars="0"/>
    </w:pPr>
    <w:rPr>
      <w:rFonts w:ascii="黑体" w:eastAsia="黑体"/>
    </w:rPr>
  </w:style>
  <w:style w:type="paragraph" w:customStyle="1" w:styleId="203">
    <w:name w:val="标准文件_引言二级条标题"/>
    <w:basedOn w:val="58"/>
    <w:next w:val="58"/>
    <w:qFormat/>
    <w:uiPriority w:val="0"/>
    <w:pPr>
      <w:numPr>
        <w:ilvl w:val="2"/>
        <w:numId w:val="8"/>
      </w:numPr>
      <w:spacing w:before="50" w:beforeLines="50" w:after="50" w:afterLines="50"/>
      <w:ind w:firstLineChars="0"/>
    </w:pPr>
    <w:rPr>
      <w:rFonts w:ascii="黑体" w:eastAsia="黑体"/>
    </w:rPr>
  </w:style>
  <w:style w:type="paragraph" w:customStyle="1" w:styleId="204">
    <w:name w:val="标准文件_引言三级条标题"/>
    <w:basedOn w:val="58"/>
    <w:next w:val="58"/>
    <w:qFormat/>
    <w:uiPriority w:val="0"/>
    <w:pPr>
      <w:numPr>
        <w:ilvl w:val="3"/>
        <w:numId w:val="8"/>
      </w:numPr>
      <w:spacing w:before="50" w:beforeLines="50" w:after="50" w:afterLines="50"/>
      <w:ind w:firstLineChars="0"/>
    </w:pPr>
    <w:rPr>
      <w:rFonts w:ascii="黑体" w:eastAsia="黑体"/>
    </w:rPr>
  </w:style>
  <w:style w:type="paragraph" w:customStyle="1" w:styleId="205">
    <w:name w:val="标准文件_引言四级条标题"/>
    <w:basedOn w:val="58"/>
    <w:next w:val="58"/>
    <w:qFormat/>
    <w:uiPriority w:val="0"/>
    <w:pPr>
      <w:numPr>
        <w:ilvl w:val="4"/>
        <w:numId w:val="8"/>
      </w:numPr>
      <w:spacing w:before="50" w:beforeLines="50" w:after="50" w:afterLines="50"/>
      <w:ind w:firstLineChars="0"/>
    </w:pPr>
    <w:rPr>
      <w:rFonts w:ascii="黑体" w:eastAsia="黑体"/>
    </w:rPr>
  </w:style>
  <w:style w:type="paragraph" w:customStyle="1" w:styleId="206">
    <w:name w:val="标准文件_引言五级条标题"/>
    <w:basedOn w:val="58"/>
    <w:next w:val="58"/>
    <w:qFormat/>
    <w:uiPriority w:val="0"/>
    <w:pPr>
      <w:numPr>
        <w:ilvl w:val="5"/>
        <w:numId w:val="8"/>
      </w:numPr>
      <w:spacing w:before="50" w:beforeLines="50" w:after="50" w:afterLines="50"/>
      <w:ind w:firstLineChars="0"/>
    </w:pPr>
    <w:rPr>
      <w:rFonts w:ascii="黑体" w:eastAsia="黑体"/>
    </w:rPr>
  </w:style>
  <w:style w:type="paragraph" w:customStyle="1" w:styleId="207">
    <w:name w:val="标准文件_注后"/>
    <w:basedOn w:val="58"/>
    <w:qFormat/>
    <w:uiPriority w:val="0"/>
    <w:pPr>
      <w:ind w:left="811" w:firstLine="0" w:firstLineChars="0"/>
    </w:pPr>
    <w:rPr>
      <w:sz w:val="18"/>
    </w:rPr>
  </w:style>
  <w:style w:type="paragraph" w:customStyle="1" w:styleId="208">
    <w:name w:val="标准文件_注X后"/>
    <w:basedOn w:val="58"/>
    <w:qFormat/>
    <w:uiPriority w:val="0"/>
    <w:pPr>
      <w:ind w:left="811" w:firstLine="0" w:firstLineChars="0"/>
    </w:pPr>
    <w:rPr>
      <w:sz w:val="18"/>
    </w:rPr>
  </w:style>
  <w:style w:type="paragraph" w:customStyle="1" w:styleId="209">
    <w:name w:val="标准文件_示例后"/>
    <w:basedOn w:val="58"/>
    <w:qFormat/>
    <w:uiPriority w:val="0"/>
    <w:pPr>
      <w:ind w:left="964" w:firstLine="0" w:firstLineChars="0"/>
    </w:pPr>
    <w:rPr>
      <w:sz w:val="18"/>
    </w:rPr>
  </w:style>
  <w:style w:type="paragraph" w:customStyle="1" w:styleId="210">
    <w:name w:val="标准文件_示例X后"/>
    <w:basedOn w:val="58"/>
    <w:link w:val="211"/>
    <w:qFormat/>
    <w:uiPriority w:val="0"/>
    <w:pPr>
      <w:ind w:left="1049" w:firstLine="0" w:firstLineChars="0"/>
    </w:pPr>
    <w:rPr>
      <w:sz w:val="18"/>
    </w:rPr>
  </w:style>
  <w:style w:type="character" w:customStyle="1" w:styleId="211">
    <w:name w:val="标准文件_示例X后 字符"/>
    <w:basedOn w:val="186"/>
    <w:link w:val="210"/>
    <w:qFormat/>
    <w:uiPriority w:val="0"/>
    <w:rPr>
      <w:rFonts w:ascii="宋体" w:hAnsi="Times New Roman"/>
      <w:sz w:val="18"/>
    </w:rPr>
  </w:style>
  <w:style w:type="paragraph" w:customStyle="1" w:styleId="212">
    <w:name w:val="标准文件_索引项"/>
    <w:basedOn w:val="58"/>
    <w:next w:val="58"/>
    <w:qFormat/>
    <w:uiPriority w:val="0"/>
    <w:pPr>
      <w:tabs>
        <w:tab w:val="right" w:leader="dot" w:pos="9356"/>
      </w:tabs>
      <w:ind w:left="210" w:hanging="210" w:firstLineChars="0"/>
      <w:jc w:val="left"/>
    </w:pPr>
  </w:style>
  <w:style w:type="paragraph" w:customStyle="1" w:styleId="213">
    <w:name w:val="标准文件_附录一级无标题"/>
    <w:basedOn w:val="80"/>
    <w:qFormat/>
    <w:uiPriority w:val="0"/>
    <w:pPr>
      <w:spacing w:before="0" w:beforeLines="0" w:after="0" w:afterLines="0" w:line="276" w:lineRule="auto"/>
      <w:outlineLvl w:val="9"/>
    </w:pPr>
    <w:rPr>
      <w:rFonts w:ascii="宋体" w:eastAsia="宋体"/>
    </w:rPr>
  </w:style>
  <w:style w:type="paragraph" w:customStyle="1" w:styleId="214">
    <w:name w:val="标准文件_附录二级无标题"/>
    <w:basedOn w:val="81"/>
    <w:qFormat/>
    <w:uiPriority w:val="0"/>
    <w:pPr>
      <w:spacing w:before="0" w:beforeLines="0" w:after="0" w:afterLines="0" w:line="276" w:lineRule="auto"/>
      <w:outlineLvl w:val="9"/>
    </w:pPr>
    <w:rPr>
      <w:rFonts w:ascii="宋体" w:eastAsia="宋体"/>
    </w:rPr>
  </w:style>
  <w:style w:type="paragraph" w:customStyle="1" w:styleId="215">
    <w:name w:val="标准文件_附录三级无标题"/>
    <w:basedOn w:val="83"/>
    <w:qFormat/>
    <w:uiPriority w:val="0"/>
    <w:pPr>
      <w:spacing w:before="0" w:beforeLines="0" w:after="0" w:afterLines="0" w:line="276" w:lineRule="auto"/>
      <w:outlineLvl w:val="9"/>
    </w:pPr>
    <w:rPr>
      <w:rFonts w:ascii="宋体" w:eastAsia="宋体"/>
    </w:rPr>
  </w:style>
  <w:style w:type="paragraph" w:customStyle="1" w:styleId="216">
    <w:name w:val="标准文件_附录四级无标题"/>
    <w:basedOn w:val="84"/>
    <w:qFormat/>
    <w:uiPriority w:val="0"/>
    <w:pPr>
      <w:spacing w:before="0" w:beforeLines="0" w:after="0" w:afterLines="0" w:line="276" w:lineRule="auto"/>
      <w:outlineLvl w:val="9"/>
    </w:pPr>
    <w:rPr>
      <w:rFonts w:ascii="宋体" w:eastAsia="宋体"/>
    </w:rPr>
  </w:style>
  <w:style w:type="paragraph" w:customStyle="1" w:styleId="217">
    <w:name w:val="标准文件_附录五级无标题"/>
    <w:basedOn w:val="86"/>
    <w:qFormat/>
    <w:uiPriority w:val="0"/>
    <w:pPr>
      <w:spacing w:before="0" w:beforeLines="0" w:after="0" w:afterLines="0" w:line="276" w:lineRule="auto"/>
      <w:outlineLvl w:val="9"/>
    </w:pPr>
    <w:rPr>
      <w:rFonts w:ascii="宋体" w:eastAsia="宋体"/>
    </w:rPr>
  </w:style>
  <w:style w:type="paragraph" w:customStyle="1" w:styleId="218">
    <w:name w:val="标准文件_引言一级无标题"/>
    <w:basedOn w:val="202"/>
    <w:next w:val="58"/>
    <w:qFormat/>
    <w:uiPriority w:val="0"/>
    <w:pPr>
      <w:spacing w:before="0" w:beforeLines="0" w:after="0" w:afterLines="0" w:line="276" w:lineRule="auto"/>
    </w:pPr>
    <w:rPr>
      <w:rFonts w:ascii="宋体" w:eastAsia="宋体"/>
    </w:rPr>
  </w:style>
  <w:style w:type="paragraph" w:customStyle="1" w:styleId="219">
    <w:name w:val="标准文件_引言二级无标题"/>
    <w:basedOn w:val="203"/>
    <w:next w:val="58"/>
    <w:qFormat/>
    <w:uiPriority w:val="0"/>
    <w:pPr>
      <w:spacing w:before="0" w:beforeLines="0" w:after="0" w:afterLines="0" w:line="276" w:lineRule="auto"/>
    </w:pPr>
    <w:rPr>
      <w:rFonts w:ascii="宋体" w:eastAsia="宋体"/>
    </w:rPr>
  </w:style>
  <w:style w:type="paragraph" w:customStyle="1" w:styleId="220">
    <w:name w:val="标准文件_引言三级无标题"/>
    <w:basedOn w:val="204"/>
    <w:qFormat/>
    <w:uiPriority w:val="0"/>
    <w:pPr>
      <w:spacing w:before="0" w:beforeLines="0" w:after="0" w:afterLines="0" w:line="276" w:lineRule="auto"/>
    </w:pPr>
    <w:rPr>
      <w:rFonts w:ascii="宋体" w:eastAsia="宋体"/>
    </w:rPr>
  </w:style>
  <w:style w:type="paragraph" w:customStyle="1" w:styleId="221">
    <w:name w:val="标准文件_引言四级无标题"/>
    <w:basedOn w:val="205"/>
    <w:next w:val="58"/>
    <w:qFormat/>
    <w:uiPriority w:val="0"/>
    <w:pPr>
      <w:spacing w:before="0" w:beforeLines="0" w:after="0" w:afterLines="0" w:line="276" w:lineRule="auto"/>
    </w:pPr>
    <w:rPr>
      <w:rFonts w:ascii="宋体" w:eastAsia="宋体"/>
    </w:rPr>
  </w:style>
  <w:style w:type="paragraph" w:customStyle="1" w:styleId="222">
    <w:name w:val="标准文件_引言五级无标题"/>
    <w:basedOn w:val="206"/>
    <w:next w:val="58"/>
    <w:qFormat/>
    <w:uiPriority w:val="0"/>
    <w:pPr>
      <w:spacing w:before="0" w:beforeLines="0" w:after="0" w:afterLines="0" w:line="276" w:lineRule="auto"/>
    </w:pPr>
    <w:rPr>
      <w:rFonts w:ascii="宋体" w:eastAsia="宋体"/>
    </w:rPr>
  </w:style>
  <w:style w:type="paragraph" w:customStyle="1" w:styleId="223">
    <w:name w:val="标准文件_索引标题"/>
    <w:basedOn w:val="65"/>
    <w:next w:val="58"/>
    <w:qFormat/>
    <w:uiPriority w:val="0"/>
    <w:rPr>
      <w:rFonts w:hAnsi="黑体"/>
    </w:rPr>
  </w:style>
  <w:style w:type="paragraph" w:customStyle="1" w:styleId="224">
    <w:name w:val="标准文件_脚注内容"/>
    <w:basedOn w:val="58"/>
    <w:qFormat/>
    <w:uiPriority w:val="0"/>
    <w:pPr>
      <w:ind w:left="400" w:leftChars="200" w:hanging="200" w:hangingChars="200"/>
    </w:pPr>
    <w:rPr>
      <w:sz w:val="15"/>
    </w:rPr>
  </w:style>
  <w:style w:type="paragraph" w:customStyle="1" w:styleId="225">
    <w:name w:val="标准文件_术语条一"/>
    <w:basedOn w:val="164"/>
    <w:next w:val="58"/>
    <w:qFormat/>
    <w:uiPriority w:val="0"/>
  </w:style>
  <w:style w:type="paragraph" w:customStyle="1" w:styleId="226">
    <w:name w:val="标准文件_术语条二"/>
    <w:basedOn w:val="167"/>
    <w:next w:val="58"/>
    <w:qFormat/>
    <w:uiPriority w:val="0"/>
  </w:style>
  <w:style w:type="paragraph" w:customStyle="1" w:styleId="227">
    <w:name w:val="标准文件_术语条三"/>
    <w:basedOn w:val="166"/>
    <w:next w:val="58"/>
    <w:qFormat/>
    <w:uiPriority w:val="0"/>
  </w:style>
  <w:style w:type="paragraph" w:customStyle="1" w:styleId="228">
    <w:name w:val="标准文件_术语条四"/>
    <w:basedOn w:val="169"/>
    <w:next w:val="58"/>
    <w:qFormat/>
    <w:uiPriority w:val="0"/>
  </w:style>
  <w:style w:type="paragraph" w:customStyle="1" w:styleId="229">
    <w:name w:val="标准文件_术语条五"/>
    <w:basedOn w:val="165"/>
    <w:next w:val="58"/>
    <w:qFormat/>
    <w:uiPriority w:val="0"/>
  </w:style>
  <w:style w:type="paragraph" w:customStyle="1" w:styleId="230">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1">
    <w:name w:val="发布"/>
    <w:basedOn w:val="30"/>
    <w:qFormat/>
    <w:uiPriority w:val="0"/>
    <w:rPr>
      <w:rFonts w:ascii="黑体" w:eastAsia="黑体"/>
      <w:spacing w:val="85"/>
      <w:w w:val="100"/>
      <w:position w:val="3"/>
      <w:sz w:val="28"/>
      <w:szCs w:val="28"/>
    </w:rPr>
  </w:style>
  <w:style w:type="paragraph" w:customStyle="1" w:styleId="232">
    <w:name w:val="段"/>
    <w:qFormat/>
    <w:uiPriority w:val="0"/>
    <w:pPr>
      <w:autoSpaceDE w:val="0"/>
      <w:autoSpaceDN w:val="0"/>
      <w:jc w:val="both"/>
    </w:pPr>
    <w:rPr>
      <w:rFonts w:ascii="宋体" w:hAnsi="Times New Roman" w:eastAsia="宋体" w:cs="Times New Roman"/>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3" Type="http://schemas.openxmlformats.org/officeDocument/2006/relationships/glossaryDocument" Target="glossary/document.xml"/><Relationship Id="rId22" Type="http://schemas.openxmlformats.org/officeDocument/2006/relationships/fontTable" Target="fontTable.xml"/><Relationship Id="rId21" Type="http://schemas.openxmlformats.org/officeDocument/2006/relationships/customXml" Target="../customXml/item2.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2.jpeg"/><Relationship Id="rId17" Type="http://schemas.openxmlformats.org/officeDocument/2006/relationships/image" Target="media/image1.tiff"/><Relationship Id="rId16" Type="http://schemas.openxmlformats.org/officeDocument/2006/relationships/theme" Target="theme/theme1.xml"/><Relationship Id="rId15" Type="http://schemas.openxmlformats.org/officeDocument/2006/relationships/footer" Target="footer5.xml"/><Relationship Id="rId14" Type="http://schemas.openxmlformats.org/officeDocument/2006/relationships/header" Target="header6.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BFCE58B174A849EE83A3AAA480459D10"/>
        <w:style w:val=""/>
        <w:category>
          <w:name w:val="常规"/>
          <w:gallery w:val="placeholder"/>
        </w:category>
        <w:types>
          <w:type w:val="bbPlcHdr"/>
        </w:types>
        <w:behaviors>
          <w:behavior w:val="content"/>
        </w:behaviors>
        <w:description w:val=""/>
        <w:guid w:val="{534E3890-494B-4D65-BBDB-85B5DFDB5B27}"/>
      </w:docPartPr>
      <w:docPartBody>
        <w:p>
          <w:pPr>
            <w:pStyle w:val="5"/>
          </w:pPr>
          <w:r>
            <w:rPr>
              <w:rStyle w:val="4"/>
              <w:rFonts w:hint="eastAsia"/>
            </w:rPr>
            <w:t>单击或点击此处输入文字。</w:t>
          </w:r>
        </w:p>
      </w:docPartBody>
    </w:docPart>
    <w:docPart>
      <w:docPartPr>
        <w:name w:val="A5BAB2DD74C44EC7B1686647C3569DB6"/>
        <w:style w:val=""/>
        <w:category>
          <w:name w:val="常规"/>
          <w:gallery w:val="placeholder"/>
        </w:category>
        <w:types>
          <w:type w:val="bbPlcHdr"/>
        </w:types>
        <w:behaviors>
          <w:behavior w:val="content"/>
        </w:behaviors>
        <w:description w:val=""/>
        <w:guid w:val="{531A068F-C244-4A23-B030-390B88042B35}"/>
      </w:docPartPr>
      <w:docPartBody>
        <w:p>
          <w:pPr>
            <w:pStyle w:val="7"/>
          </w:pPr>
          <w:r>
            <w:rPr>
              <w:rStyle w:val="4"/>
              <w:rFonts w:hint="eastAsia"/>
            </w:rPr>
            <w:t>选择一项。</w:t>
          </w:r>
        </w:p>
      </w:docPartBody>
    </w:docPart>
    <w:docPart>
      <w:docPartPr>
        <w:name w:val="{70499096-eb7e-48ec-a3d4-4be0ffd043bf}"/>
        <w:style w:val=""/>
        <w:category>
          <w:name w:val="常规"/>
          <w:gallery w:val="placeholder"/>
        </w:category>
        <w:types>
          <w:type w:val="bbPlcHdr"/>
        </w:types>
        <w:behaviors>
          <w:behavior w:val="content"/>
        </w:behaviors>
        <w:description w:val=""/>
        <w:guid w:val="{70499096-eb7e-48ec-a3d4-4be0ffd043bf}"/>
      </w:docPartPr>
      <w:docPartBody>
        <w:p>
          <w:pPr>
            <w:pStyle w:val="9"/>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revisionView w:markup="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1206"/>
    <w:rsid w:val="001130DD"/>
    <w:rsid w:val="00173B08"/>
    <w:rsid w:val="001819C6"/>
    <w:rsid w:val="00191206"/>
    <w:rsid w:val="002F30D9"/>
    <w:rsid w:val="002F36A6"/>
    <w:rsid w:val="004563BC"/>
    <w:rsid w:val="004E480D"/>
    <w:rsid w:val="004F1D96"/>
    <w:rsid w:val="00593E0A"/>
    <w:rsid w:val="005D654D"/>
    <w:rsid w:val="007900B4"/>
    <w:rsid w:val="007C4030"/>
    <w:rsid w:val="00806D85"/>
    <w:rsid w:val="00885990"/>
    <w:rsid w:val="009B41AB"/>
    <w:rsid w:val="00A13256"/>
    <w:rsid w:val="00BE55D2"/>
    <w:rsid w:val="00D8039B"/>
    <w:rsid w:val="00DC2E95"/>
    <w:rsid w:val="00DF1CF1"/>
    <w:rsid w:val="00E202C0"/>
    <w:rsid w:val="00EE4DB1"/>
    <w:rsid w:val="00EF57B5"/>
    <w:rsid w:val="00FC21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BFCE58B174A849EE83A3AAA480459D10"/>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67D8514BF7F3426587A9926D07D62767"/>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A5BAB2DD74C44EC7B1686647C3569DB6"/>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8">
    <w:name w:val="52ABED1D63004EE09AA9EF93C6E0751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9">
    <w:name w:val="3065F5C7E81F48B58863E1527D2865C0"/>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2847AF4-2EDB-405C-AE4C-A6532EA2E0E1}">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18</Pages>
  <Words>12486</Words>
  <Characters>13301</Characters>
  <Lines>51</Lines>
  <Paragraphs>14</Paragraphs>
  <TotalTime>1</TotalTime>
  <ScaleCrop>false</ScaleCrop>
  <LinksUpToDate>false</LinksUpToDate>
  <CharactersWithSpaces>13614</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2024-04-27T23:58:00Z</dcterms:created>
  <dc:creator>WXCDC</dc:creator>
  <dc:description>&lt;config cover="true" show_menu="true" version="1.0.0" doctype="SDKXY"&gt;_x000d_
&lt;/config&gt;</dc:description>
  <cp:lastModifiedBy>wdaifu</cp:lastModifiedBy>
  <cp:lastPrinted>2024-04-26T08:40:00Z</cp:lastPrinted>
  <dcterms:modified xsi:type="dcterms:W3CDTF">2024-08-13T06:33:47Z</dcterms:modified>
  <dc:title>地方标准</dc:title>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2052-12.1.0.15120</vt:lpwstr>
  </property>
  <property fmtid="{D5CDD505-2E9C-101B-9397-08002B2CF9AE}" pid="15" name="ICV">
    <vt:lpwstr>9BDDEABDFA4C46249C103DB28292EF0C_13</vt:lpwstr>
  </property>
</Properties>
</file>